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charts/chart119.xml" ContentType="application/vnd.openxmlformats-officedocument.drawingml.chart+xml"/>
  <Override PartName="/word/charts/chart53.xml" ContentType="application/vnd.openxmlformats-officedocument.drawingml.chart+xml"/>
  <Override PartName="/word/charts/chart9.xml" ContentType="application/vnd.openxmlformats-officedocument.drawingml.chart+xml"/>
  <Override PartName="/word/charts/chart1.xml" ContentType="application/vnd.openxmlformats-officedocument.drawingml.chart+xml"/>
  <Override PartName="/word/charts/chart35.xml" ContentType="application/vnd.openxmlformats-officedocument.drawingml.chart+xml"/>
  <Override PartName="/word/charts/chart2.xml" ContentType="application/vnd.openxmlformats-officedocument.drawingml.chart+xml"/>
  <Override PartName="/word/charts/chart36.xml" ContentType="application/vnd.openxmlformats-officedocument.drawingml.chart+xml"/>
  <Override PartName="/word/charts/chart3.xml" ContentType="application/vnd.openxmlformats-officedocument.drawingml.chart+xml"/>
  <Override PartName="/word/charts/chart37.xml" ContentType="application/vnd.openxmlformats-officedocument.drawingml.chart+xml"/>
  <Override PartName="/word/charts/chart4.xml" ContentType="application/vnd.openxmlformats-officedocument.drawingml.chart+xml"/>
  <Override PartName="/word/charts/chart38.xml" ContentType="application/vnd.openxmlformats-officedocument.drawingml.chart+xml"/>
  <Override PartName="/word/charts/chart5.xml" ContentType="application/vnd.openxmlformats-officedocument.drawingml.chart+xml"/>
  <Override PartName="/word/charts/chart39.xml" ContentType="application/vnd.openxmlformats-officedocument.drawingml.chart+xml"/>
  <Override PartName="/word/charts/chart116.xml" ContentType="application/vnd.openxmlformats-officedocument.drawingml.chart+xml"/>
  <Override PartName="/word/charts/chart50.xml" ContentType="application/vnd.openxmlformats-officedocument.drawingml.chart+xml"/>
  <Override PartName="/word/charts/chart6.xml" ContentType="application/vnd.openxmlformats-officedocument.drawingml.chart+xml"/>
  <Override PartName="/word/charts/chart117.xml" ContentType="application/vnd.openxmlformats-officedocument.drawingml.chart+xml"/>
  <Override PartName="/word/charts/chart51.xml" ContentType="application/vnd.openxmlformats-officedocument.drawingml.chart+xml"/>
  <Override PartName="/word/charts/chart7.xml" ContentType="application/vnd.openxmlformats-officedocument.drawingml.chart+xml"/>
  <Override PartName="/word/charts/chart118.xml" ContentType="application/vnd.openxmlformats-officedocument.drawingml.chart+xml"/>
  <Override PartName="/word/charts/chart52.xml" ContentType="application/vnd.openxmlformats-officedocument.drawingml.chart+xml"/>
  <Override PartName="/word/charts/chart8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106.xml" ContentType="application/vnd.openxmlformats-officedocument.drawingml.chart+xml"/>
  <Override PartName="/word/charts/chart40.xml" ContentType="application/vnd.openxmlformats-officedocument.drawingml.chart+xml"/>
  <Override PartName="/word/charts/chart107.xml" ContentType="application/vnd.openxmlformats-officedocument.drawingml.chart+xml"/>
  <Override PartName="/word/charts/chart41.xml" ContentType="application/vnd.openxmlformats-officedocument.drawingml.chart+xml"/>
  <Override PartName="/word/charts/chart108.xml" ContentType="application/vnd.openxmlformats-officedocument.drawingml.chart+xml"/>
  <Override PartName="/word/charts/chart42.xml" ContentType="application/vnd.openxmlformats-officedocument.drawingml.chart+xml"/>
  <Override PartName="/word/charts/chart109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charts/chart45.xml" ContentType="application/vnd.openxmlformats-officedocument.drawingml.chart+xml"/>
  <Override PartName="/word/charts/chart46.xml" ContentType="application/vnd.openxmlformats-officedocument.drawingml.chart+xml"/>
  <Override PartName="/word/charts/chart47.xml" ContentType="application/vnd.openxmlformats-officedocument.drawingml.chart+xml"/>
  <Override PartName="/word/charts/chart48.xml" ContentType="application/vnd.openxmlformats-officedocument.drawingml.chart+xml"/>
  <Override PartName="/word/charts/chart49.xml" ContentType="application/vnd.openxmlformats-officedocument.drawingml.chart+xml"/>
  <Override PartName="/word/charts/chart54.xml" ContentType="application/vnd.openxmlformats-officedocument.drawingml.chart+xml"/>
  <Override PartName="/word/charts/chart55.xml" ContentType="application/vnd.openxmlformats-officedocument.drawingml.chart+xml"/>
  <Override PartName="/word/charts/chart56.xml" ContentType="application/vnd.openxmlformats-officedocument.drawingml.chart+xml"/>
  <Override PartName="/word/charts/chart57.xml" ContentType="application/vnd.openxmlformats-officedocument.drawingml.chart+xml"/>
  <Override PartName="/word/charts/chart58.xml" ContentType="application/vnd.openxmlformats-officedocument.drawingml.chart+xml"/>
  <Override PartName="/word/charts/chart59.xml" ContentType="application/vnd.openxmlformats-officedocument.drawingml.chart+xml"/>
  <Override PartName="/word/charts/chart126.xml" ContentType="application/vnd.openxmlformats-officedocument.drawingml.chart+xml"/>
  <Override PartName="/word/charts/chart60.xml" ContentType="application/vnd.openxmlformats-officedocument.drawingml.chart+xml"/>
  <Override PartName="/word/charts/chart127.xml" ContentType="application/vnd.openxmlformats-officedocument.drawingml.chart+xml"/>
  <Override PartName="/word/charts/chart61.xml" ContentType="application/vnd.openxmlformats-officedocument.drawingml.chart+xml"/>
  <Override PartName="/word/charts/chart128.xml" ContentType="application/vnd.openxmlformats-officedocument.drawingml.chart+xml"/>
  <Override PartName="/word/charts/chart62.xml" ContentType="application/vnd.openxmlformats-officedocument.drawingml.chart+xml"/>
  <Override PartName="/word/charts/chart129.xml" ContentType="application/vnd.openxmlformats-officedocument.drawingml.chart+xml"/>
  <Override PartName="/word/charts/chart63.xml" ContentType="application/vnd.openxmlformats-officedocument.drawingml.chart+xml"/>
  <Override PartName="/word/charts/chart64.xml" ContentType="application/vnd.openxmlformats-officedocument.drawingml.chart+xml"/>
  <Override PartName="/word/charts/chart65.xml" ContentType="application/vnd.openxmlformats-officedocument.drawingml.chart+xml"/>
  <Override PartName="/word/charts/chart66.xml" ContentType="application/vnd.openxmlformats-officedocument.drawingml.chart+xml"/>
  <Override PartName="/word/charts/chart67.xml" ContentType="application/vnd.openxmlformats-officedocument.drawingml.chart+xml"/>
  <Override PartName="/word/charts/chart68.xml" ContentType="application/vnd.openxmlformats-officedocument.drawingml.chart+xml"/>
  <Override PartName="/word/charts/chart69.xml" ContentType="application/vnd.openxmlformats-officedocument.drawingml.chart+xml"/>
  <Override PartName="/word/charts/chart136.xml" ContentType="application/vnd.openxmlformats-officedocument.drawingml.chart+xml"/>
  <Override PartName="/word/charts/chart70.xml" ContentType="application/vnd.openxmlformats-officedocument.drawingml.chart+xml"/>
  <Override PartName="/word/charts/chart137.xml" ContentType="application/vnd.openxmlformats-officedocument.drawingml.chart+xml"/>
  <Override PartName="/word/charts/chart71.xml" ContentType="application/vnd.openxmlformats-officedocument.drawingml.chart+xml"/>
  <Override PartName="/word/charts/chart138.xml" ContentType="application/vnd.openxmlformats-officedocument.drawingml.chart+xml"/>
  <Override PartName="/word/charts/chart72.xml" ContentType="application/vnd.openxmlformats-officedocument.drawingml.chart+xml"/>
  <Override PartName="/word/charts/chart139.xml" ContentType="application/vnd.openxmlformats-officedocument.drawingml.chart+xml"/>
  <Override PartName="/word/charts/chart73.xml" ContentType="application/vnd.openxmlformats-officedocument.drawingml.chart+xml"/>
  <Override PartName="/word/charts/chart74.xml" ContentType="application/vnd.openxmlformats-officedocument.drawingml.chart+xml"/>
  <Override PartName="/word/charts/chart75.xml" ContentType="application/vnd.openxmlformats-officedocument.drawingml.chart+xml"/>
  <Override PartName="/word/charts/chart76.xml" ContentType="application/vnd.openxmlformats-officedocument.drawingml.chart+xml"/>
  <Override PartName="/word/charts/chart77.xml" ContentType="application/vnd.openxmlformats-officedocument.drawingml.chart+xml"/>
  <Override PartName="/word/charts/chart78.xml" ContentType="application/vnd.openxmlformats-officedocument.drawingml.chart+xml"/>
  <Override PartName="/word/charts/chart79.xml" ContentType="application/vnd.openxmlformats-officedocument.drawingml.chart+xml"/>
  <Override PartName="/word/charts/chart146.xml" ContentType="application/vnd.openxmlformats-officedocument.drawingml.chart+xml"/>
  <Override PartName="/word/charts/chart80.xml" ContentType="application/vnd.openxmlformats-officedocument.drawingml.chart+xml"/>
  <Override PartName="/word/charts/chart147.xml" ContentType="application/vnd.openxmlformats-officedocument.drawingml.chart+xml"/>
  <Override PartName="/word/charts/chart81.xml" ContentType="application/vnd.openxmlformats-officedocument.drawingml.chart+xml"/>
  <Override PartName="/word/charts/chart148.xml" ContentType="application/vnd.openxmlformats-officedocument.drawingml.chart+xml"/>
  <Override PartName="/word/charts/chart82.xml" ContentType="application/vnd.openxmlformats-officedocument.drawingml.chart+xml"/>
  <Override PartName="/word/charts/chart149.xml" ContentType="application/vnd.openxmlformats-officedocument.drawingml.chart+xml"/>
  <Override PartName="/word/charts/chart83.xml" ContentType="application/vnd.openxmlformats-officedocument.drawingml.chart+xml"/>
  <Override PartName="/word/charts/chart84.xml" ContentType="application/vnd.openxmlformats-officedocument.drawingml.chart+xml"/>
  <Override PartName="/word/charts/chart85.xml" ContentType="application/vnd.openxmlformats-officedocument.drawingml.chart+xml"/>
  <Override PartName="/word/charts/chart86.xml" ContentType="application/vnd.openxmlformats-officedocument.drawingml.chart+xml"/>
  <Override PartName="/word/charts/chart87.xml" ContentType="application/vnd.openxmlformats-officedocument.drawingml.chart+xml"/>
  <Override PartName="/word/charts/chart88.xml" ContentType="application/vnd.openxmlformats-officedocument.drawingml.chart+xml"/>
  <Override PartName="/word/charts/chart89.xml" ContentType="application/vnd.openxmlformats-officedocument.drawingml.chart+xml"/>
  <Override PartName="/word/charts/chart156.xml" ContentType="application/vnd.openxmlformats-officedocument.drawingml.chart+xml"/>
  <Override PartName="/word/charts/chart90.xml" ContentType="application/vnd.openxmlformats-officedocument.drawingml.chart+xml"/>
  <Override PartName="/word/charts/chart157.xml" ContentType="application/vnd.openxmlformats-officedocument.drawingml.chart+xml"/>
  <Override PartName="/word/charts/chart91.xml" ContentType="application/vnd.openxmlformats-officedocument.drawingml.chart+xml"/>
  <Override PartName="/word/charts/chart158.xml" ContentType="application/vnd.openxmlformats-officedocument.drawingml.chart+xml"/>
  <Override PartName="/word/charts/chart92.xml" ContentType="application/vnd.openxmlformats-officedocument.drawingml.chart+xml"/>
  <Override PartName="/word/charts/chart159.xml" ContentType="application/vnd.openxmlformats-officedocument.drawingml.chart+xml"/>
  <Override PartName="/word/charts/chart93.xml" ContentType="application/vnd.openxmlformats-officedocument.drawingml.chart+xml"/>
  <Override PartName="/word/charts/chart94.xml" ContentType="application/vnd.openxmlformats-officedocument.drawingml.chart+xml"/>
  <Override PartName="/word/charts/chart95.xml" ContentType="application/vnd.openxmlformats-officedocument.drawingml.chart+xml"/>
  <Override PartName="/word/charts/chart96.xml" ContentType="application/vnd.openxmlformats-officedocument.drawingml.chart+xml"/>
  <Override PartName="/word/charts/chart97.xml" ContentType="application/vnd.openxmlformats-officedocument.drawingml.chart+xml"/>
  <Override PartName="/word/charts/chart98.xml" ContentType="application/vnd.openxmlformats-officedocument.drawingml.chart+xml"/>
  <Override PartName="/word/charts/chart99.xml" ContentType="application/vnd.openxmlformats-officedocument.drawingml.chart+xml"/>
  <Override PartName="/word/charts/chart100.xml" ContentType="application/vnd.openxmlformats-officedocument.drawingml.chart+xml"/>
  <Override PartName="/word/charts/chart101.xml" ContentType="application/vnd.openxmlformats-officedocument.drawingml.chart+xml"/>
  <Override PartName="/word/charts/chart102.xml" ContentType="application/vnd.openxmlformats-officedocument.drawingml.chart+xml"/>
  <Override PartName="/word/charts/chart103.xml" ContentType="application/vnd.openxmlformats-officedocument.drawingml.chart+xml"/>
  <Override PartName="/word/charts/chart104.xml" ContentType="application/vnd.openxmlformats-officedocument.drawingml.chart+xml"/>
  <Override PartName="/word/charts/chart105.xml" ContentType="application/vnd.openxmlformats-officedocument.drawingml.chart+xml"/>
  <Override PartName="/word/charts/chart110.xml" ContentType="application/vnd.openxmlformats-officedocument.drawingml.chart+xml"/>
  <Override PartName="/word/charts/chart111.xml" ContentType="application/vnd.openxmlformats-officedocument.drawingml.chart+xml"/>
  <Override PartName="/word/charts/chart112.xml" ContentType="application/vnd.openxmlformats-officedocument.drawingml.chart+xml"/>
  <Override PartName="/word/charts/chart113.xml" ContentType="application/vnd.openxmlformats-officedocument.drawingml.chart+xml"/>
  <Override PartName="/word/charts/chart114.xml" ContentType="application/vnd.openxmlformats-officedocument.drawingml.chart+xml"/>
  <Override PartName="/word/charts/chart115.xml" ContentType="application/vnd.openxmlformats-officedocument.drawingml.chart+xml"/>
  <Override PartName="/word/charts/chart120.xml" ContentType="application/vnd.openxmlformats-officedocument.drawingml.chart+xml"/>
  <Override PartName="/word/charts/chart121.xml" ContentType="application/vnd.openxmlformats-officedocument.drawingml.chart+xml"/>
  <Override PartName="/word/charts/chart122.xml" ContentType="application/vnd.openxmlformats-officedocument.drawingml.chart+xml"/>
  <Override PartName="/word/charts/chart123.xml" ContentType="application/vnd.openxmlformats-officedocument.drawingml.chart+xml"/>
  <Override PartName="/word/charts/chart124.xml" ContentType="application/vnd.openxmlformats-officedocument.drawingml.chart+xml"/>
  <Override PartName="/word/charts/chart125.xml" ContentType="application/vnd.openxmlformats-officedocument.drawingml.chart+xml"/>
  <Override PartName="/word/charts/chart130.xml" ContentType="application/vnd.openxmlformats-officedocument.drawingml.chart+xml"/>
  <Override PartName="/word/charts/chart131.xml" ContentType="application/vnd.openxmlformats-officedocument.drawingml.chart+xml"/>
  <Override PartName="/word/charts/chart132.xml" ContentType="application/vnd.openxmlformats-officedocument.drawingml.chart+xml"/>
  <Override PartName="/word/charts/chart133.xml" ContentType="application/vnd.openxmlformats-officedocument.drawingml.chart+xml"/>
  <Override PartName="/word/charts/chart134.xml" ContentType="application/vnd.openxmlformats-officedocument.drawingml.chart+xml"/>
  <Override PartName="/word/charts/chart135.xml" ContentType="application/vnd.openxmlformats-officedocument.drawingml.chart+xml"/>
  <Override PartName="/word/charts/chart140.xml" ContentType="application/vnd.openxmlformats-officedocument.drawingml.chart+xml"/>
  <Override PartName="/word/charts/chart141.xml" ContentType="application/vnd.openxmlformats-officedocument.drawingml.chart+xml"/>
  <Override PartName="/word/charts/chart142.xml" ContentType="application/vnd.openxmlformats-officedocument.drawingml.chart+xml"/>
  <Override PartName="/word/charts/chart143.xml" ContentType="application/vnd.openxmlformats-officedocument.drawingml.chart+xml"/>
  <Override PartName="/word/charts/chart144.xml" ContentType="application/vnd.openxmlformats-officedocument.drawingml.chart+xml"/>
  <Override PartName="/word/charts/chart145.xml" ContentType="application/vnd.openxmlformats-officedocument.drawingml.chart+xml"/>
  <Override PartName="/word/charts/chart150.xml" ContentType="application/vnd.openxmlformats-officedocument.drawingml.chart+xml"/>
  <Override PartName="/word/charts/chart151.xml" ContentType="application/vnd.openxmlformats-officedocument.drawingml.chart+xml"/>
  <Override PartName="/word/charts/chart152.xml" ContentType="application/vnd.openxmlformats-officedocument.drawingml.chart+xml"/>
  <Override PartName="/word/charts/chart153.xml" ContentType="application/vnd.openxmlformats-officedocument.drawingml.chart+xml"/>
  <Override PartName="/word/charts/chart154.xml" ContentType="application/vnd.openxmlformats-officedocument.drawingml.chart+xml"/>
  <Override PartName="/word/charts/chart155.xml" ContentType="application/vnd.openxmlformats-officedocument.drawingml.chart+xml"/>
  <Override PartName="/word/charts/chart160.xml" ContentType="application/vnd.openxmlformats-officedocument.drawingml.chart+xml"/>
  <Override PartName="/word/charts/chart161.xml" ContentType="application/vnd.openxmlformats-officedocument.drawingml.chart+xml"/>
  <Override PartName="/word/charts/chart162.xml" ContentType="application/vnd.openxmlformats-officedocument.drawingml.chart+xml"/>
  <Override PartName="/word/charts/chart163.xml" ContentType="application/vnd.openxmlformats-officedocument.drawingml.chart+xml"/>
  <Override PartName="/word/charts/chart164.xml" ContentType="application/vnd.openxmlformats-officedocument.drawingml.chart+xml"/>
  <Override PartName="/word/charts/chart165.xml" ContentType="application/vnd.openxmlformats-officedocument.drawingml.chart+xml"/>
  <Override PartName="/word/charts/chart166.xml" ContentType="application/vnd.openxmlformats-officedocument.drawingml.chart+xml"/>
  <Override PartName="/word/charts/chart167.xml" ContentType="application/vnd.openxmlformats-officedocument.drawingml.chart+xml"/>
  <Override PartName="/word/charts/chart168.xml" ContentType="application/vnd.openxmlformats-officedocument.drawingml.chart+xml"/>
  <Override PartName="/word/charts/chart169.xml" ContentType="application/vnd.openxmlformats-officedocument.drawingml.chart+xml"/>
  <Override PartName="/word/charts/chart170.xml" ContentType="application/vnd.openxmlformats-officedocument.drawingml.chart+xml"/>
  <Override PartName="/word/charts/chart171.xml" ContentType="application/vnd.openxmlformats-officedocument.drawingml.chart+xml"/>
  <Override PartName="/word/charts/chart172.xml" ContentType="application/vnd.openxmlformats-officedocument.drawingml.chart+xml"/>
  <Override PartName="/word/charts/chart173.xml" ContentType="application/vnd.openxmlformats-officedocument.drawingml.chart+xml"/>
  <Override PartName="/word/charts/chart174.xml" ContentType="application/vnd.openxmlformats-officedocument.drawingml.chart+xml"/>
  <Override PartName="/word/charts/chart175.xml" ContentType="application/vnd.openxmlformats-officedocument.drawingml.chart+xml"/>
  <Override PartName="/word/charts/chart176.xml" ContentType="application/vnd.openxmlformats-officedocument.drawingml.chart+xml"/>
  <Override PartName="/word/charts/chart177.xml" ContentType="application/vnd.openxmlformats-officedocument.drawingml.chart+xml"/>
  <Override PartName="/word/charts/chart178.xml" ContentType="application/vnd.openxmlformats-officedocument.drawingml.chart+xml"/>
  <Override PartName="/word/charts/chart179.xml" ContentType="application/vnd.openxmlformats-officedocument.drawingml.chart+xml"/>
  <Override PartName="/word/charts/chart180.xml" ContentType="application/vnd.openxmlformats-officedocument.drawingml.chart+xml"/>
  <Override PartName="/word/charts/chart181.xml" ContentType="application/vnd.openxmlformats-officedocument.drawingml.chart+xml"/>
  <Override PartName="/word/charts/chart182.xml" ContentType="application/vnd.openxmlformats-officedocument.drawingml.chart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</w:r>
    </w:p>
    <w:p>
      <w:pPr>
        <w:pStyle w:val="Normal"/>
        <w:spacing w:lineRule="auto" w:line="36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Аналитический отчет об оказании услуг по проведению мониторинга состояния и развития конкурентной среды на рынках товаров, работ и услуг Псковской области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РАЗДЕЛ </w:t>
      </w:r>
      <w:r>
        <w:rPr>
          <w:rFonts w:cs="Times New Roman" w:ascii="Times New Roman" w:hAnsi="Times New Roman"/>
          <w:b/>
          <w:sz w:val="28"/>
          <w:szCs w:val="28"/>
        </w:rPr>
        <w:t>1</w:t>
      </w:r>
      <w:r>
        <w:rPr>
          <w:rFonts w:cs="Times New Roman" w:ascii="Times New Roman" w:hAnsi="Times New Roman"/>
          <w:b/>
          <w:sz w:val="28"/>
          <w:szCs w:val="28"/>
        </w:rPr>
        <w:t>. ИНФОРМАЦИЯ О СОСТОЯНИИ И РАЗВИТИИ КОНКУРЕНТНОЙ СРЕДЫ НА РЫНКАХ ТОВАРОВ, РАБОТ И УСЛУГ ПСКОВСКОЙ ОБЛАСТИ НА ОСНОВЕ ДАННЫХ ПРОВЕДЕННОГО ИССЛЕДОВАНИЯ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ДОШКОЛЬНОГО ОБРАЗОВАНИЯ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рынке услуг дошкольного образования лидирующие позиции по количеству предприятий и объему оказываемых услуг занимают государственные и муниципальные образовательные учреждение. Их в Псковской области 109. Конкурируют с ними частные учреждения, предлагающие услуги дошкольного образования. Только 3 предприятий имеют лицензии на образовательную деятельность. Остальные оказывают услуги детского досуга, детского садика на неполный день, а также занимаются организацией досуга.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Данные проведенного социологического исследования показывают, что опрошенные жители Псковской области удовлетворены выбором поставщиков услуг дошкольного образования. Так ответило 75% респондентов и только 25% опрошенных считают, что недостаточно предприятий и сложно сделать выбор.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Качество доступных услуг дошкольного образования устаивает 71,76% респондентов, полностью устраивает 3,24% опрошенных. 12,5% участников исследования сказали, что качество доступных услуг дошкольного образования неприемлемо низкое и столько же участников исследования из числа жителей Псковской области затруднились с ответом на заданный вопрос.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/>
        <w:drawing>
          <wp:inline distT="0" distB="0" distL="0" distR="0">
            <wp:extent cx="4231640" cy="2498725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Рис.1. Оценка качества потребителями услуги дошкольного образования,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ответе на вопрос «Считаете ли Вы доступными цены следующих услуг дошкольного образования?» 50 % ответили «Да, вполне доступны». «Приемлемой» стоимость считают 37,5%респондентов и 12,5 % опрошенных сообщили, что цены недоступны.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"/>
              </a:graphicData>
            </a:graphic>
          </wp:inline>
        </w:drawing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Рис.2. Оценка потребителями доступности услуги дошкольного образования, %</w:t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Несмотря на малый процент частных предприятий в данной отрасли, по сравнению с государственными и муниципальными учреждениями, 42,86 % опрошенных считают, что достаточный выбор доступных негосударственных поставщиков услуг. 28,57% респондентов придерживается мнения, что недостаточно частных предприятий в данной отрасли и такой же процент респондентов воздержались от ответа. 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668905"/>
            <wp:effectExtent l="0" t="0" r="0" b="0"/>
            <wp:docPr id="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Рис.3. Оценка выбора доступных негосударственных (немуниципальных) услуги дошкольного образования,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дошкольного образования, 75% респондентов считают приемлемыми, 12,5 % неприемлемыми и аналогичное число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2456180"/>
            <wp:effectExtent l="0" t="0" r="0" b="0"/>
            <wp:docPr id="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Рис.4.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Сравните стоимость услуги дошкольного образования в сравнении с соседними регионами услуги дошкольного образования,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основании данных проведенного исследования можно сделать вывод, что рынок услуг дошкольного образования конкурентный и доминирующие позиции занимают государственные и муниципальные предприятия. Однако стоит заметить, что многие частные организации имеют в планах развитие создание своей филиальной, а также рассматривают расширение спектра предлагаемых услуг и в связи с этим получение соответствующих разрешительных документов.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Основными административными барьерами в данной сфере предпринимательства остаются: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недостаток собственных ресурсов у СМСП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отсутствие возможных льгот по аренде помещений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низкий уровень информационной поддержки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более низкая стоимость содержания ребенка в дошкольных муниципальных учреждениях и широкий спектр образовательных услуг.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ДЕТСКОГО ОТДЫХА И ОЗДОРОВЛЕНИЯ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Основными игроками рынка услуг детского отдыха и оздоровления являются государственные и муниципальные организации. Совокупно 18 учреждений. Число частных организаций в этой сфере бизнеса равно 3.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Распределение учреждений для детского отдыха и оздоровления (государственных и частных вместе) следующее: 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 загородных лагерей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 санаторно-оздоровительных лагеря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 палаточных.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жители Псковской области считают недостаточной доступный выбор поставщиков услуг детского отдыха и оздоровления. Так ответило 75% респондентов. 25% опрошенных на этот же вопрос ответили «достаточно».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этом качество доступных услуг детского отдыха и оздоровления устраивает 47,83% респондентов, полностью устраивает 2,18% опрошенных. 37,5% участников исследования считают его неприемлемо низким и 12,5% респондента воздержались от ответов.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487930"/>
            <wp:effectExtent l="0" t="0" r="0" b="0"/>
            <wp:docPr id="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Рис.5. Оценка качества потребителями услуги детского отдыха и оздоровления,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71,43% респондентов оценили цены как приемлемые, 14,29% сказали, что стоимость услуг вполне приемлемая и аналогичное число опрошенных затруднились дать ответ.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83815"/>
            <wp:effectExtent l="0" t="0" r="0" b="0"/>
            <wp:docPr id="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Рис.6. Оценка потребителями доступности услуги детского отдыха и оздоровления,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поставщиков услуг детского отдыха и оздоровления большинство респондентов (42,86%) считают недостаточным. 28,57% опрошенных считают наоборот выбор достаточный. Оставшиеся 28,57% респондентов затруднились с ответом на данный вопрос.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604770"/>
            <wp:effectExtent l="0" t="0" r="0" b="0"/>
            <wp:docPr id="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Рис.7. Оценка выбора доступных негосударственных (немуниципальных) услуги детского отдыха и оздоровления,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дошкольного образования, 50% респондентов считают приемлемыми, 37,5 % неприемлемыми и 12,5%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Рис.8. Сравните стоимость услуги детского отдыха и оздоровления в сравнении с соседними регионами услуги детского отдыха и оздоровления,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Таким образом можно сделать вывод, что существующие на рынке поставщики услуг детского отдыха и оздоровления не могут в полной мере удовлетворить спрос жителей Псковской области. Также стоит отметить потребность в поставщиках услуг из частного сектора.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Отсутствие прибыли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Высокая финансовая затратность на содержание и оказание услуг в загородных оздоровительных лагерях,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Высокие требования к загородным оздоровительным лагерям со стороны надзорных служб.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ПСИХОЛОГО-ПЕДАГОГИЧЕСКОГО СОПРОВОЖДЕНИЯ ДЕТЕЙ С ОГРАНИЧЕННЫМИ ВОЗМОЖНОСТЯМИ ЗДОРОВЬЯ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Услуг психолого-педагогического сопровождения детей с ограниченными возможностями здоровья оказываются в государственных и частных организациях Псковской области. Доля государственных предприятий наибольшая.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образовательных организациях дети с ограниченными возможностями здоровья получают либо комплексное психолого-педагогического сопровождения, либо отдельные услуги по оказанию психологической помощи ребенку педагогом-психологом, коррекционные занятия с учителем-логопедом или с учителем-дефектологом.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исследования показали, что жители Псковской области считают недостаточной доступный выбор поставщиков услуг психолого-педагогического сопровождения детей с ограниченными возможностями здоровья. Так ответило 37,5% респондентов. 25% опрошенных на этот же вопрос ответили «достаточно» и столько же «затрудняюсь ответить». Лишь 12,5 % участников опроса оценили доступность поставщиков услуг психолого-педагогического сопровождения детей с ограниченными возможностями здоровья как «избыточно много»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этом качество доступных услуг психолого-педагогического сопровождения детей с ограниченными возможностями здоровья устраивает 37,5% респондентов. Из них 35,86% респондентов ответили «Устраивает», 1,64% - «Полностью устраивает». Такое же количество опрошенных (37,5%) считают его неприемлемо низким и 25% участников исследования воздержались от ответов.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Рис.9. Оценка качества потребителями услуги психолого-педагогического сопровождения детей с ограниченными возможностями здоровья,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62,5% респондентов оценили цены как приемлемые. 12,5% опрошенных сказали, что цены «Доступные». Аналогичное число опрошенных (12,5%) сказали, что «Нет, цены недоступны» и «Затрудняюсь ответить».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349500"/>
            <wp:effectExtent l="0" t="0" r="0" b="0"/>
            <wp:docPr id="1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Рис.10. Оценка потребителями доступности услуги психолого-педагогического сопровождения детей с ограниченными возможностями здоровья, %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поставщиков услуг психолого-педагогического сопровождения детей с ограниченными возможностями здоровья респондентов (28,57%) считают недостаточным. 28,57% опрошенных считают наоборот выбор достаточный. Большая часть респондентов (42,86%) затруднились с ответом на данный вопрос.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83815"/>
            <wp:effectExtent l="0" t="0" r="0" b="0"/>
            <wp:docPr id="1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11. Оценка выбора доступных негосударственных (немуниципальных) услуги психолого-педагогического сопровождения детей с ограниченными возможностями здоровья,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психолого-педагогического сопровождения детей с ограниченными возможностями здоровья, 50% респондентов считают приемлемыми. 25 % неприемлемыми и аналогичное число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12. Сравните стоимость услуги психолого-педагогического сопровождения детей с ограниченными возможностями здоровья в сравнении с соседними регионами услуги психолого-педагогического сопровождения детей с ограниченными возможностями здоровья,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основании полученных данных нет возможности объективно оценить качество предлагаемых услуг психолого-педагогического сопровождения детей с ограниченными возможностями здоровья, доступность поставщиков государственного и частного секторов экономики, а также стоимость их услуг.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Основная проблема развития конкуренции на рынке услуг психолого-педагогического сопровождения детей с ограниченными возможностями здоровья – это недостаток квалифицированных специалистов в данной сфере в районах Псковской области, особенно учителем-дефектологов.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ДОПОЛНИТЕЛЬНОГО ОБРАЗОВАНИЯ ДЕТЕЙ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Рынок услуг дополнительного образования детей обширный и включает в себя различные типы учреждений: центры творчества, развития, спортивные школы и школы искусств (музыкальные, художественные), дома творчества, центры туризма, военно-патриотические, эстетические и спортивные центры и т.д. В этой сфере доминируют государственные и муниципальные учреждения.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мнение жителей Псковской области в вопросе «Насколько велик доступный Вам выбор поставщиков следующих услуг?» разделились поровну между ответами «Достаточно» (50%) и «Недостаточно» (50%).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этом качество доступных услуг дополнительного образования детей устраивает 62,5% респондентов (полностью устраивает 2,76 %; устраивает 59,74%). Как «неприемлемо низкое» качество предоставляемых услуг оценили 37,50% опрошенных.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13. Оценка качества потребителями услуги дополнительного образования детей,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85,71% респондентов оценили цены как приемлемо и 14,29% ответили «Да, вполне доступные».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14. Оценка потребителями доступности услуги дополнительного образования детей,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поставщиков услуг дополнительного образования детей 42,86% респондентов считают недостаточным. 28,57% опрошенных ответили «Достаточно» и такое же количество участников опроса затруднились с ответом на данный вопрос.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15. Оценка выбора доступных негосударственных (немуниципальных) услуги дополнительного образования детей,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дополнительного образования детей, 75% респондентов считают приемлемыми, 12,5 % неприемлемыми и аналогичное число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Рис.16. Сравните стоимость услуги дополнительного образования детей в сравнении с соседними регионами услуги дополнительного образования детей,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На основании полученных данных исследования можно сказать, что потребителей не устраивает количество поставщиков услуг дополнительного образования детей. Существует потребность в открытии частных учреждений дополнительного образования детей в Псковской области. 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недостаточность финансирования учреждений дополнительного образования детей 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недостаток квалифицированных кадров по различным направлениям дополнительного образования учащихся; нехватка материальной стимуляции специалистов дополнительного образования детей;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необходимость внедрения современных условий для детей с ограниченными возможностями здоровья, детей-инвалидов.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СРЕДНЕГО ПРОФЕССИОНАЛЬНОГО ОБРАЗОВАНИЯ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рынке услуг среднего профессионального общего образования 14 государственных и 1 частное учреждение.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исследования показали, что 50% респондентов считают, что в регионе недостаточно организаций, оказывающих услуги среднего профессионального образования. Как достаточный выбор поставщиков оценили 37,5% опрошенных. 12,5% участников исследования затруднились ответить.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этом качество доступных услуг среднего профессионального образования устраивает только 35,84% респондентов, «полностью устраивает» 1,67%. Как «неприемлемо низкое» качество предоставляемых услуг оценили 50% опрошенных. 12,5% участников исследования затруднились ответить.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Рис.17. Оценка качества потребителями услуги среднего профессионального образования,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71,43% респондентов оценили цены как приемлемо, 14,29% ответили «Да, вполне доступные» и столько же опрошенных затруднились ответить.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Рис.18. Оценка потребителями доступности услуги среднего профессионального образования,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поставщиков услуг среднего профессионального образования 42,86% респондентов считают недостаточным. 28,57% опрошенных ответили «Достаточно» и такое же количество участников опроса затруднились с ответом на данный вопрос.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618740"/>
            <wp:effectExtent l="0" t="0" r="0" b="0"/>
            <wp:docPr id="1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Рис.19. Оценка выбора доступных негосударственных (немуниципальных) услуги среднего профессионального образования, %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дополнительного образования детей, 50% респондентов считают приемлемыми, 25 % неприемлемыми и аналогичное число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456180"/>
            <wp:effectExtent l="0" t="0" r="0" b="0"/>
            <wp:docPr id="2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Рис.20. Сравните стоимость услуги среднего профессионального образования в сравнении с соседними регионами услуги среднего профессионального образования,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На основании полученных данных исследования можно сказать, что потребители из числа опрошенных в исследовании заинтересованы в увеличении на рынке числа негосударственных организаций, оказывающих услуги среднего профессионального образования.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Основной административный барьер при развитии конкуренции в данной сфере – это отсутствие в законодательстве Псковской области необходимых правовых актов, определяющих порядок приема и количество учащихся в профессиональных частных образовательных учреждениях.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ОБЩЕГО ОБРАЗОВАНИЯ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Псковской области доминирующее число предприятий в данной сфере государственные и муниципальные. В совокупности это 154 учреждения. Негосударственных предприятий, оказывающих услуги общего образования 3.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мнение жителей Псковской области в вопросе «Насколько велик доступный Вам выбор поставщиков следующих услуг?» разделились поровну между ответами «Достаточно» (50%) и «Недостаточно» (50%).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этом качество доступных услуг общего образования детей устраивает 75% респондентов (полностью устраивает 3,35%; устраивает 71,65%). Как «неприемлемо низкое» качество предоставляемых услуг оценили 25% опрошенных.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2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Рис.21. Оценка качества потребителями услуги общего образования,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85,71% респондентов оценили цены как приемлемо и 14,29% ответили «Да, вполне доступные».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2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Рис.22. Оценка потребителями доступности услуги общего образования,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Доступность выбора негосударственных поставщиков услуг общего образования детей 33,33% респондентов считают достаточным. Такое же количество опрошенных затруднились с ответом на данный вопрос, поэтому сделать однозначный вывод о доступности выбора негосударственных поставщиков услуг  невозможно.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2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Рис.23. Оценка выбора доступных негосударственных (немуниципальных) услуги общего образования,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общего образования детей, 62,5% респондентов считают приемлемыми, 25 % неприемлемыми и 12,5%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2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Рис.24. Сравните стоимость услуги общего образования в сравнении с соседними регионами услуги общего образования,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необходимость получения лицензий и других разрешительных документов;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недостаточность финансирования учреждений общего образования детей 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недостаток квалифицированных кадров 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необходимость внедрения современных условий для детей с ограниченными возможностями здоровья, детей-инвалидов.</w:t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Создание и обновление материально-технической базы современными и инновационными приборами.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МЕДИЦИНСКИЕ УСЛУГИ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рынке медицинских услуг и охраны здоровья доминирующее положение занимают предприятия частного сектора экономики. Их количество в регионе 178. При число государственных и муниципальных учреждений 51.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исследования показали, что 66,67% респондентов считают, что в регионе недостаточно организаций, оказывающих медицинские услуги. Как достаточный выбор поставщиков оценили 11,11% опрошенных. 22,22% участников исследования оценили доступность поставщиков как «избыточно много».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50% респондентов. Из них полностью устраивает 2,25%, устраивает 47,75%. Как «неприемлемо низкое» качество предоставляемых услуг оценили 50%.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2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Рис.25. Оценка качества потребителями медицинских услуг,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50% респондентов оценили цены как приемлемо, 25% опрошенных ответили «Да, вполне доступные» и столько же «Нет, цены недоступны».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2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Рис.26. Оценка потребителями доступности медицинских услуг,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Доступность выбора негосударственных поставщиков медицинских услуг 37,5% респондентов считают недостаточным. 25% опрошенных ответили «Достаточно» и такое же количество участников опроса затруднились с ответом на данный вопрос. Как «Избыточно много» оценили доступность негосударственных поставщиков медицинских услуг 12,5% респондентов.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650490"/>
            <wp:effectExtent l="0" t="0" r="0" b="0"/>
            <wp:docPr id="2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Рис.27. Оценка выбора доступных негосударственных (немуниципальных) медицинских услуг,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медицинские услуги, 44,44% респондентов считают приемлемыми, 11,11 % «Да, вполне доступны». 22,22% респондентов дали ответ «нет, цены недоступны» и аналогичное число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2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Рис.28. Сравните стоимость медицинских услуг сравнении с соседними регионами медицинских услуг,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обеспечение условий для лицензирования деятельности;</w:t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низкая кадровая обеспеченность медицинскими работниками</w:t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необходимость соблюдения стандартов оснащения оборудованием в соответствии с порядками оказания медицинской помощи (дополнительные затраты).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РОЗНИЧНАЯ ТОРГОВЛЯ ФАРМАЦЕВТИЧЕСКОЙ ПРОДУКЦИЕЙ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данной сфере на рынке представлены государственные и частные организации, осуществляющие розничную торговлю лекарственными препаратами, медицинскими изделиями и сопутствующими товарами.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66,67% респондентов считают, что в регионе достаточно организаций, оказывающих розничную торговлю фармацевтической продукцией и 33,33% опрошенных считают, что «избыточно много» таких организаций.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81,83% респондентов. Полностью устраивает 3,88%. Как «неприемлемо низкое» качество предоставляемых услуг оценили 14,29%.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2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Рис.29. Оценка качества потребителями розничной торговли фармацевтической продукцией,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71,43% респондентов оценили цены как приемлемо, 14,29% опрошенных ответили «Да, вполне доступные» и столько же «Нет, цены недоступны».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3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Рис.30. Оценка потребителями доступности розничной торговли фармацевтической продукцией,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 розничной торговли фармацевтической продукцией 33,33% респондентов считают достаточным. По 22,22% опрошенных ответили «Достаточно», «Избыточно много» и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3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Рис.31. Оценка выбора доступных негосударственных (немуниципальных) розничной торговли фармацевтической продукцией,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Стоимость услуг в негосударственных организациях, занимающихся розничной торговлей фармацевтической продукцией, 66,67% респондентов считают приемлемыми. По 11,11 % респонденты дали ответ «Да, вполне доступны», «Нет, цены недоступны» и «Затрудняюсь ответить».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619375"/>
            <wp:effectExtent l="0" t="0" r="0" b="0"/>
            <wp:docPr id="3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Рис.32. Сравните стоимость розничной торговли фармацевтической продукцией в сравнении с соседними регионами розничной торговли фармацевтической продукцией,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обеспечение условий для лицензирования деятельности;</w:t>
      </w:r>
    </w:p>
    <w:p>
      <w:pPr>
        <w:pStyle w:val="ListParagraph"/>
        <w:numPr>
          <w:ilvl w:val="0"/>
          <w:numId w:val="5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привлечение негосударственных предприятий в сельскую местность Псковской области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СОЦИАЛЬНОГО ОБСЛУЖИВАНИЯ НАСЕЛЕНИЯ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Основные поставщики услуг в данной сфере – государственные предприятия. Доля организаций частного сектора мала.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исследования показали, что мнение жителей Псковской области в вопросе «Насколько велик доступный Вам выбор поставщиков следующих услуг?» разделились поровну между ответами «Достаточно» (37,5%) и «Недостаточно» (37,5%). Затруднились с ответом 25% респондентов.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54,54% респондентов. Полностью устраивает – 2,61%. Как «неприемлемо низкое» качество предоставляемых услуг оценили 28,57%. 14,29% респондентов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3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33. Оценка качества потребителями услуги социального обслуживания населения,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50% респондентов оценили цены как приемлемо, 33,33% - «нет, цены недоступны» 16,67% опрошенных ответили «Да, вполне доступные» и столько же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3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Рис.34. Оценка потребителями доступности услуги социального обслуживания населения,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оказывающих услуги социального обслуживания населения 37,5% респондентов считают недостаточным, 25% опрошенных ответили «Достаточно», 12,5% «Избыточно много»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3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Рис.35. Оценка выбора доступных негосударственных (немуниципальных) услуги социального обслуживания населения,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занимающихся социального обслуживания населения, 62,5% респондентов считают приемлемыми, 25% респондентов дали ответ «нет, цены недоступны» и 12,5%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3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36. Сравните стоимость услуги социального обслуживания населения в сравнении с соседними регионами услуги социального обслуживания населения,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сложности с кадровым обеспечением предприятий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высокие капитальные затраты или объемы первоначальных инвестиций, необходимых для входа на рынок; 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сложности, возникающие у частных компаний при внесении залогового обеспечения для участия в конкурсах; 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низкий уровень доходов населения, особенно в сельской местности, тормозящий развитие платных социальных услуг.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РИТУАЛЬНЫЕ УСЛУГИ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На данном рынке в основном услуги оказывают частные компании. Доля государственных организаций небольшая.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87,5% респондентов считают, что в регионе достаточно организаций, оказывающих ритуальные услуги и 12,5%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54,52% респондентов. Полностью устраивает качество предоставляемых услуг 2,62%. Как «неприемлемо низкое» качество предоставляемых услуг оценили 14,29%. 28,57%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3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Рис.37. Оценка качества потребителями ритуальных услуг,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50% респондентов оценили цены как приемлемо, 16,67% опрошенных ответили «Да, вполне доступные» и 33,33% респондентов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3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Рис.38. Оценка потребителями доступности ритуальных услуг,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оказывающих ритуальные услуги 28,5%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3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Рис.39. Оценка выбора доступных негосударственных (немуниципальных) ритуальных услуг,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ритуальные услуги, 62,5% респондентов считают приемлемыми, 12,5%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4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Рис.40. Сравните стоимость ритуальных услуг в сравнении с соседними регионами ритуальных услуг,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Административные барьеры в сфере оказания ритуальных услуг отсутствуют.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ТЕПЛОСНАБЖЕНИЯ (ПРОИЗВОДСТВА ТЕПЛОВОЙ ЭНЕРГИИ</w:t>
      </w:r>
      <w:r>
        <w:rPr>
          <w:rFonts w:cs="Times New Roman" w:ascii="Times New Roman" w:hAnsi="Times New Roman"/>
          <w:sz w:val="28"/>
          <w:szCs w:val="28"/>
        </w:rPr>
        <w:t>)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70% респондентов считают, что в регионе достаточно организаций (30% - избыточно много и 40% достаточно), оказывающих услуги теплоснабжения (производства тепловой энергии). 20% недостаточно и 10%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54,50% респондентов, полностью устраивает 2,64%. Как «неприемлемо низкое» качество предоставляемых услуг оценили 28,57%. 14,29% участников опроса затруднились с ответом.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4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Рис.41. Оценка качества потребителями услуги теплоснабжения (производства тепловой энергии),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50% респондентов оценили цены как приемлемо, 16,67% опрошенных ответили «Да, вполне доступные», 33% респондентов дали ответ «нет, цены недоступны».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651760"/>
            <wp:effectExtent l="0" t="0" r="0" b="0"/>
            <wp:docPr id="4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Рис.42. Оценка потребителями доступности услуги теплоснабжения (производства тепловой энергии),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оказывающих данные услуги 28,57%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306955"/>
            <wp:effectExtent l="0" t="0" r="0" b="0"/>
            <wp:docPr id="4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Рис.43. Оценка выбора доступных негосударственных (немуниципальных) услуги теплоснабжения (производства тепловой энергии),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теплоснабжения (производства тепловой энергии), 18,18% респондентов считают «да, вполне доступны» и 27,27% приемлемы), 45,45% респондентов дали ответ «нет, цены недоступны» и 9,09%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445385"/>
            <wp:effectExtent l="0" t="0" r="0" b="0"/>
            <wp:docPr id="4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44. Сравните стоимость услуги теплоснабжения (производства тепловой энергии) в сравнении с соседними регионами услуги теплоснабжения (производства тепловой энергии),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8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монополия по предоставлению коммунальных услуг</w:t>
      </w:r>
    </w:p>
    <w:p>
      <w:pPr>
        <w:pStyle w:val="ListParagraph"/>
        <w:numPr>
          <w:ilvl w:val="0"/>
          <w:numId w:val="7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высокий уровень физического износа объектов жилищно-коммунального хозяйства;</w:t>
      </w:r>
    </w:p>
    <w:p>
      <w:pPr>
        <w:pStyle w:val="ListParagraph"/>
        <w:numPr>
          <w:ilvl w:val="0"/>
          <w:numId w:val="7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необходимость в значительных капитальных вложениях;</w:t>
      </w:r>
    </w:p>
    <w:p>
      <w:pPr>
        <w:pStyle w:val="ListParagraph"/>
        <w:numPr>
          <w:ilvl w:val="0"/>
          <w:numId w:val="7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задолженность населения за предоставленные жилищно-коммунальные услуги.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ПО СБОРУ И ТРАНСПОРТИРОВАНИЮ ТВЕРДЫХ КОММУНАЛЬНЫХ ОТХОДОВ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Лидирующие позиции в этой сфере занимают государственные предприятия. Доля предприятий частного сектора 43%.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77,78% респондентов считают, что в регионе достаточно организаций (22,22% - избыточно много и 55,56% достаточно), оказывающих услуги по сбору и транспортированию твердых коммунальных отходов, и 11,11% недостаточно и 11,11%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54,49% респондентов, вполне устраивает 2,66%. Как «неприемлемо низкое» качество предоставляемых услуг оценили 28,57%.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4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Рис.45. Оценка качества потребителями услуги по сбору и транспортированию твердых коммунальных отходов,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50% респондентов оценили цены как приемлемо, 16,67% опрошенных ответили «Да, вполне доступные», 33,33% респондентов дали ответ «нет, цены недоступны».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4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Рис.46. Оценка потребителями доступности услуги по сбору и транспортированию твердых коммунальных отходов,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оказывающих услуги по сбору и транспортированию твердых коммунальных отходов 28,57%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4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Рис.48. Оценка выбора доступных негосударственных (немуниципальных) услуги по сбору и транспортированию твердых коммунальных отходов,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по сбору и транспортированию твердых коммунальных отходов, 55,55% респондентов считают приемлемыми (11,11% «да, вполне доступны» и 44,44% приемлемы), 33,33% респондентов дали ответ «нет, цены недоступны» и 11,11%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4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Рис.49. Сравните стоимость услуги по сбору и транспортированию твердых коммунальных отходов в сравнении с соседними регионами услуги по сбору и транспортированию твердых коммунальных отходов,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9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отсутствие платежеспособного спроса со стороны потребителей (задолженность управляющих компаний);</w:t>
      </w:r>
    </w:p>
    <w:p>
      <w:pPr>
        <w:pStyle w:val="ListParagraph"/>
        <w:numPr>
          <w:ilvl w:val="0"/>
          <w:numId w:val="9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значительный размер первоначального капитала для создания предприятия, предоставляющего услуги по транспортированию, переработке и захоронению твердых коммунальных отходов;</w:t>
      </w:r>
    </w:p>
    <w:p>
      <w:pPr>
        <w:pStyle w:val="ListParagraph"/>
        <w:numPr>
          <w:ilvl w:val="0"/>
          <w:numId w:val="9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большие сроки окупаемости капитальных вложений для покупки оборудования по сбору, транспортированию, обработке, утилизации твердых коммунальных отходов.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ВЫПОЛНЕНИЕ РАБОТ ПО БЛАГОУСТРОЙСТВУ ГОРОДСКОЙ СРЕДЫ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50% респондентов считают, что в регионе достаточно организаций, оказывающих услуги по благоустройству городской среды, и 12,5% недостаточно и 37,5%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47,66% респондентов, полностью устраивает 2,34%. Как «неприемлемо низкое» качество предоставляемых услуг оценили 33,33%. 16,67%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4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50. Оценка качества потребителями выполнение работ по благоустройству городской среды,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66,67% респондентов оценили цены как приемлемо, 16,67% опрошенных ответили «Да, вполне доступные» и 16,67%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5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Рис.51. Оценка потребителями доступности выполнение работ по благоустройству городской среды,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оказывающих услуги по благоустройству городской среды 28,57%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5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Рис.52. Оценка выбора доступных негосударственных (немуниципальных) выполнение работ по благоустройству городской среды,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по благоустройству городской среды, 55,55% респондентов считают приемлемыми (11,11% «да, вполне доступны» и 44,44% приемлемы), 33,33% респондентов дали ответ «нет, цены недоступны» и 11,11%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5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Рис.53. Сравните стоимость выполнение работ по благоустройству городской среды в сравнении с соседними регионами выполнение работ по благоустройству городской среды, %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Административных барьеров в данной сфере не обнаружено.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ВЫПОЛНЕНИЕ РАБОТ ПО СОДЕРЖАНИЮ И ТЕКУЩЕМУ РЕМОНТУ ОБЩЕГО ИМУЩЕСТВА СОБСТВЕННИКОВ ПОМЕЩЕНИЙ В МНОГОКВАРТИРНОМ ДОМЕ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Лидирующие позиции в этой сфере занимают предприятия частного сектора, осуществляющие деятельность по содержанию и текущему ремонту общего имущества собственников помещений в многоквартирном доме.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44,44% респондентов считают, что в регионе достаточно организаций (22,22% - избыточно много и 22,22% достаточно), выполняющих работы по содержанию и текущему ремонту общего имущества собственников помещений в многоквартирном доме, и 44,44% недостаточно и 11,11%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54,45% респондентов, полностью устраивает 2,69%. Как «неприемлемо низкое» качество предоставляемых услуг оценили 28,57%.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5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Рис.54. Оценка качества потребителями выполнения работ по содержанию и текущему ремонту общего имущества собственников помещений в многоквартирном доме,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50% респондентов оценили цены как приемлемо, 16,67% опрошенных ответили «Да, вполне доступные», 33,33% респондентов дали ответ «нет, цены недоступны».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5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Рис.55. Оценка потребителями доступности выполнения работ по содержанию и текущему ремонту общего имущества собственников помещений в многоквартирном доме,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выполняющих работы по содержанию и текущему ремонту общего имущества собственников помещений в многоквартирном доме 28,57%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41270"/>
            <wp:effectExtent l="0" t="0" r="0" b="0"/>
            <wp:docPr id="5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Рис.56. Оценка выбора доступных негосударственных (немуниципальных) выполнения работ по содержанию и текущему ремонту общего имущества собственников помещений в многоквартирном доме,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1950720"/>
            <wp:effectExtent l="0" t="0" r="0" b="0"/>
            <wp:docPr id="5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57. Сравните стоимость выполнения работ по содержанию и текущему ремонту общего имущества собственников помещений в многоквартирном домов в сравнении с соседними регионами выполнение работ по содержанию и текущему ремонту общего имущества собственников помещений в многоквартирном доме,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Административных барьеров в данной сфере не обнаружено.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ПОСТАВКИ СЖИЖЕННОГО ГАЗА В БАЛЛОНАХ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62,5% респондентов считают, что в регионе достаточно организаций, занимающихся поставками сжиженного газа в баллонах, и 12,5% недостаточно и 25%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54,43% респондентов, полностью устраивает 2,71%. Как «неприемлемо низкое» качество предоставляемых услуг оценили 28,57%.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5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Рис.58. Оценка качества потребителями поставки сжиженного газа в баллонах,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50% респондентов оценили цены как приемлемо. По 16,67% опрошенных ответили «Да, вполне доступные», «нет, цены недоступны» и «затрудняюсь ответить».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5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Рис.59. Оценка потребителями доступности поставки сжиженного газа в баллонах,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занимающихся поставками сжиженного газа в баллонах, 28,57%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51430"/>
            <wp:effectExtent l="0" t="0" r="0" b="0"/>
            <wp:docPr id="5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Рис.60. Оценка выбора доступных негосударственных (немуниципальных) поставки сжиженного газа в баллонах,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занимающихся поставками сжиженного газа в баллонах, 50% респондентов считают приемлемыми, 25%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487930"/>
            <wp:effectExtent l="0" t="0" r="0" b="0"/>
            <wp:docPr id="6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Рис.61. Сравните стоимость поставки сжиженного газа в баллонах в сравнении с соседними регионами поставки сжиженного газа в баллонах,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10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наличие допусков для осуществления деятельности</w:t>
      </w:r>
    </w:p>
    <w:p>
      <w:pPr>
        <w:pStyle w:val="ListParagraph"/>
        <w:numPr>
          <w:ilvl w:val="0"/>
          <w:numId w:val="10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государственное регулирование тарифов на сжиженный газ для бытовых нужд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КУПЛИ-ПРОДАЖИ ЭЛЕКТРИЧЕСКОЙ ЭНЕРГИИ (МОЩНОСТИ) НА РОЗНИЧНОМ РЫНКЕ ЭЛЕКТРИЧЕСКОЙ ЭНЕРГИИ (МОЩНОСТИ)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данной отрасли все компании являются частными. Есть один гарантирующий поставщик электрической энергии АО «Псковэнергосбыт» и 5 энергосбытовых компаний.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50% респондентов считают, что в регионе достаточно организаций, занимающихся куплей-продажей электрической энергии (мощности) на розничном рынке электрической энергии (мощности). 25% недостаточно и 25%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42,85% респондентов. Как «неприемлемо низкое» качество предоставляемых услуг оценили 28,57%. 28,57% участников опроса затруднились с ответом.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424430"/>
            <wp:effectExtent l="0" t="0" r="0" b="0"/>
            <wp:docPr id="6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Рис.62. Оценка качества потребителями услуги купли-продажи электрической энергии (мощности) на розничном рынке электрической энергии (мощности),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33,33% респондентов оценили цены как приемлемо, 33,33% опрошенных ответили «Да, вполне доступные», 16,67% респондентов дали ответ «нет, цены недоступны» и 16,67%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6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63. Оценка потребителями доступности услуги купли-продажи электрической энергии (мощности) на розничном рынке электрической энергии (мощности),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занимающихся куплей-продажей электрической энергии (мощности) на розничном рынке электрической энергии (мощности), 28,57%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6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64. Оценка выбора доступных негосударственных (немуниципальных) услуги купли-продажи электрической энергии (мощности) на розничном рынке электрической энергии (мощности),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6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65. Сравните стоимость услуги купли-продажи электрической энергии (мощности) на розничном рынке электрической энергии (мощности)в сравнении с соседними регионами услуги купли-продажи электрической энергии (мощности) на розничном рынке электрической энергии (мощности), %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10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наличие допусков для осуществления деятельности</w:t>
      </w:r>
    </w:p>
    <w:p>
      <w:pPr>
        <w:pStyle w:val="ListParagraph"/>
        <w:numPr>
          <w:ilvl w:val="0"/>
          <w:numId w:val="10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распределение рынка сбыта между компаниями</w:t>
      </w:r>
    </w:p>
    <w:p>
      <w:pPr>
        <w:pStyle w:val="ListParagraph"/>
        <w:numPr>
          <w:ilvl w:val="0"/>
          <w:numId w:val="10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естественная монополия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ПО ПРОИЗВОДСТВУ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данном рынке осуществляют свою деятельность 2 частные организации: ЗАО «Норд Гидро» и ЗАО «ЗЭТО».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50% респондентов считают, что в регионе достаточно организаций, оказывающих услуги по производству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когенерации. 25% недостаточно и 25%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40,80% респондентов, вполне устраивает 2,06%. Как «неприемлемо низкое» качество предоставляемых услуг оценили 28,57%. 28,57%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6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Рис.66. Оценка качества потребителями услуги по производству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33,33% респондентов оценили цены как приемлемо, 33,33% опрошенных ответили «Да, вполне доступные», 16,67% респондентов дали ответ «нет, цены недоступны» и аналогичное число респондентов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6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67. Оценка потребителями доступности услуги по производству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оказывающих услуги по производству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когенерации, 28,5%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339340"/>
            <wp:effectExtent l="0" t="0" r="0" b="0"/>
            <wp:docPr id="6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68. Оценка выбора доступных негосударственных (немуниципальных) услуги по производству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487930"/>
            <wp:effectExtent l="0" t="0" r="0" b="0"/>
            <wp:docPr id="6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Рис.69. Сравните стоимость услуги по производству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 в сравнении с соседними регионами услуги по производству электрической энергии (мощности) на розничном рынке электрической энергии (мощности), включая производство электрической энергии (мощности) в режиме когенерации,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10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наличие допусков для осуществления деятельности</w:t>
      </w:r>
    </w:p>
    <w:p>
      <w:pPr>
        <w:pStyle w:val="ListParagraph"/>
        <w:numPr>
          <w:ilvl w:val="0"/>
          <w:numId w:val="10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распределение рынка сбыта между компаниями</w:t>
      </w:r>
    </w:p>
    <w:p>
      <w:pPr>
        <w:pStyle w:val="ListParagraph"/>
        <w:numPr>
          <w:ilvl w:val="0"/>
          <w:numId w:val="10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естественная монополия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ПО ПЕРЕВОЗКЕ ПАССАЖИРОВ АВТОМОБИЛЬНЫМ ТРАНСПОРТОМ ПО МУНИЦИПАЛЬНЫМ МАРШРУТАМ РЕГУЛЯРНЫХ ПЕРЕВОЗОК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Услуги по перевозке пассажиров автомобильным транспортом по муниципальным маршрутам на регулярной основе оказывают более 80% предприятий частной </w:t>
      </w:r>
      <w:r>
        <w:rPr>
          <w:rFonts w:cs="Times New Roman" w:ascii="Times New Roman" w:hAnsi="Times New Roman"/>
          <w:sz w:val="28"/>
          <w:szCs w:val="28"/>
        </w:rPr>
        <w:t xml:space="preserve">формы </w:t>
      </w:r>
      <w:r>
        <w:rPr>
          <w:rFonts w:cs="Times New Roman" w:ascii="Times New Roman" w:hAnsi="Times New Roman"/>
          <w:sz w:val="28"/>
          <w:szCs w:val="28"/>
        </w:rPr>
        <w:t>собственности.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66,67% респондентов считают, что в регионе достаточно организаций (11,11% - избыточно много и 55,56% достаточно), оказывающих услуги по перевозке пассажиров автомобильным транспортом по муниципальным маршрутам регулярных перевозок, и 22,22% недостаточно и 11,11%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54,38% респондентов, полностью устраивает 2,76. Как «неприемлемо низкое» качество предоставляемых услуг оценили 28,57%.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6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Рис.70. Оценка качества потребителями услуги по перевозке пассажиров автомобильным транспортом по муниципальным маршрутам регулярных перевозок,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42,86% респондентов оценили цены как приемлемо, столько же опрошенных ответили «Да, вполне доступные». 14,29% респондентов дали ответ «нет, цены недоступны».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7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Рис.71. Оценка потребителями доступности услуги по перевозке пассажиров автомобильным транспортом по муниципальным маршрутам регулярных перевозок,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оказывающих услуги по перевозке пассажиров автомобильным транспортом по муниципальным маршрутам регулярных перевозок, 28,5%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445385"/>
            <wp:effectExtent l="0" t="0" r="0" b="0"/>
            <wp:docPr id="7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Рис.72. Оценка выбора доступных негосударственных (немуниципальных) услуги по перевозке пассажиров автомобильным транспортом по муниципальным маршрутам регулярных перевозок,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по перевозке пассажиров автомобильным транспортом по муниципальным маршрутам регулярных перевозок, 52,5% респондентов считают приемлемыми, 25% респондентов дали ответ «нет, цены недоступны» и 12,5%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402840"/>
            <wp:effectExtent l="0" t="0" r="0" b="0"/>
            <wp:docPr id="7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Рис.73. Сравните стоимость услуги по перевозке пассажиров автомобильным транспортом по муниципальным маршрутам регулярных перевозок сравнении с соседними регионами услуги по перевозке пассажиров автомобильным транспортом по муниципальным маршрутам регулярных перевозок,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1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необходимость осуществления значительных первоначальных капитальных вложений на приобретение необходимого транспорта (автобусов) и организацию обслуживания автобусного парка при длительных сроках окупаемости этих вложений;</w:t>
      </w:r>
    </w:p>
    <w:p>
      <w:pPr>
        <w:pStyle w:val="ListParagraph"/>
        <w:numPr>
          <w:ilvl w:val="0"/>
          <w:numId w:val="1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необходимости получения лицензии на осуществление деятельности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ПО ПЕРЕВОЗКЕ ПАССАЖИРОВ АВТОМОБИЛЬНЫМ ТРАНСПОРТОМ ПО МЕЖМУНИЦИПАЛЬНЫМ МАРШРУТАМ РЕГУЛЯРНЫХ ПЕРЕВОЗОК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Услуги по перевозке пассажиров автомобильным транспортом по межмуниципальным маршрутам на регулярной основе оказывают более 80% предприятий частной собственности.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66,67% респондентов считают, что в регионе достаточно организаций (11,11% - избыточно много и 55,56% достаточно), оказывающих услуги по перевозке пассажиров автомобильным транспортом по межмуниципальным маршрутам регулярных перевозок, и 22,22% недостаточно и 11,11%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54,37% респондентов, полностью устраивает 2,78. Как «неприемлемо низкое» качество предоставляемых услуг оценили 28,57%.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691130"/>
            <wp:effectExtent l="0" t="0" r="0" b="0"/>
            <wp:docPr id="7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Рис.74. Оценка качества потребителями услуги по перевозке пассажиров автомобильным транспортом по межмуниципальным маршрутам регулярных перевозок,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42,86% респондентов оценили цены как приемлемо, столько же опрошенных ответили «Да, вполне доступные». 14,29% респондентов дали ответ «нет, цены недоступны».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7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Рис.75. Оценка потребителями доступности услуги по перевозке пассажиров автомобильным транспортом по межмуниципальным маршрутам регулярных перевозок,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оказывающих услуги по перевозке пассажиров автомобильным транспортом по межмуниципальным маршрутам регулярных перевозок, 28,5%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7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Рис.76. Оценка выбора доступных негосударственных (немуниципальных) услуги по перевозке пассажиров автомобильным транспортом по межмуниципальным маршрутам регулярных перевозок,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по перевозке пассажиров автомобильным транспортом по межмуниципальным маршрутам регулярных перевозок, 52,5% респондентов считают приемлемыми, 25% респондентов дали ответ «нет, цены недоступны» и 12,5%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7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Рис.77. Сравните стоимость услуги по перевозке пассажиров автомобильным транспортом по межмуниципальным маршрутам регулярных перевозок в сравнении с соседними регионами услуги по перевозке пассажиров автомобильным транспортом по межмуниципальным маршрутам регулярных перевозок,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1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необходимость осуществления значительных первоначальных капитальных вложений на приобретение необходимого транспорта (автобусов) и организацию обслуживания автобусного парка при длительных сроках окупаемости этих вложений;</w:t>
      </w:r>
    </w:p>
    <w:p>
      <w:pPr>
        <w:pStyle w:val="ListParagraph"/>
        <w:numPr>
          <w:ilvl w:val="0"/>
          <w:numId w:val="1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необходимости получения лицензии на осуществление деятельности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ПО ПЕРЕВОЗКЕ ПАССАЖИРОВ И БАГАЖА ЛЕГКОВЫМ ТАКСИ НА ТЕРРИТОРИИ СУБЪЕКТА РОССИЙСКОЙ ФЕДЕРАЦИИ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Предприятия, осуществляющие деятельность по перевозке пассажиров и багажа легковым такси на территории Псковской области являются субъектами малого и микробизнеса.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75% респондентов считают, что в регионе достаточно организаций (12,5% - избыточно много и 62,5% достаточно), оказывающих услуги по перевозке пассажиров и багажа легковым такси на территории субъекта Российской Федерации, и 25% недостаточно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54,35% респондентов, вполне устраивает 2,79%. Как «неприемлемо низкое» качество предоставляемых услуг оценили 28,57%.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7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78. Оценка качества потребителями услуги по перевозке пассажиров и багажа легковым такси на территории субъекта Российской Федерации,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42,86% респондентов оценили цены как вполне приемлемо. По 28,57% опрошенных ответили «приемлемо» и «нет, цены недоступны».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7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Рис.79. Оценка потребителями доступности услуги по перевозке пассажиров и багажа легковым такси на территории субъекта Российской Федерации,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Доступность выбора негосударственных предприятий, оказывающих услуги по перевозке пассажиров и багажа легковым такси на территории субъекта Российской Федерации, 28,57% респондентов считают достаточным, такое же количество недостаточным, недостаточным - 42,86% респондентов. Затруднились с ответом 28,57% опрошенных.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7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Рис.80. Оценка выбора доступных негосударственных (немуниципальных) услуги по перевозке пассажиров и багажа легковым такси на территории субъекта Российской Федерации,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по перевозке пассажиров и багажа легковым такси на территории субъекта Российской Федерации, 50% респондентов считают приемлемыми, 37,5% респондентов дали ответ «нет, цены недоступны» и 12,5%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8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Рис.81. Сравните стоимость услуги по перевозке пассажиров и багажа легковым такси на территории субъекта Российской Федерации в сравнении с соседними регионами услуги по перевозке пассажиров и багажа легковым такси на территории субъекта Российской Федерации, %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Данная сфера бизнеса характеризуется высоким уровнем конкуренции.  Ощутимых административных барьеров не наблюдается.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ПО РЕМОНТУ АВТОТРАНСПОРТНЫХ СРЕДСТВ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Услуги по ремонту автомобильных средств оказывают в основном частные предприятия.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исследования показали, что 62,5% респондентов считают, что в регионе достаточно организаций, оказывающей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услуги по ремонту автотранспортных средств. 25% недостаточно и 12,5%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54,33% респондентов, полностью устраивает 2,81%. Как «неприемлемо низкое» качество предоставляемых услуг оценили 28,57%.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8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Рис.82. Оценка качества потребителями услуги по ремонту автотранспортных средств,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66,67% респондентов оценили цены как приемлемо, 16,67% опрошенных ответили «Да, вполне доступные», 16,67% респондентов дали ответ «нет, цены недоступны».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94610"/>
            <wp:effectExtent l="0" t="0" r="0" b="0"/>
            <wp:docPr id="8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83. Оценка потребителями доступности услуги по ремонту автотранспортных средств,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Доступность выбора предприятий, оказывающей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услуги по ремонту автотранспортных средств, 25% респондентов считают достаточным, избыточно много – 12,5%. Оценили как «недостаточный» -  37,5%. 25%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8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Рис.84. Оценка выбора доступных  услуги по ремонту автотранспортных средств,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Стоимость услуг в негосударственных организациях, оказывающей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услуги по ремонту автотранспортных средств, 62,50% респондентов считают приемлемыми, 25% респондентов дали ответ «нет, цены недоступны» и 12,5%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8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85. Сравните стоимость услуги по ремонту автотранспортных средств в сравнении с соседними регионами услуги по ремонту автотранспортных средств,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Административных барьеров в данной сфере бизнеса не наблюдается.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СВЯЗИ, В ТОМ ЧИСЛЕ ПО ПРЕДОСТАВЛЕНИЮ ШИРОКОПОЛОСНОГО ДОСТУПА К ИНФОРМАЦИОННО-ТЕЛЕКОММУНИКАЦИОННОЙ СЕТИ «ИНТЕРНЕТ»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исследования показали, что 80% респондентов считают, что в регионе достаточно организаций (20% - избыточно много и 60% достаточно), оказывающих услуги связи, в том числе по предоставлению широкополосного доступа к информационно-телекоммуникационной сети «Интернет». По 10% «недостаточно» и «Затрудняюсь ответить».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81,47% респондентов, полностью устраивает 4,24%. Как «неприемлемо низкое» качество предоставляемых услуг оценили 14,29% участников опроса.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8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Рис.86. Оценка качества потребителями услуги связи, в том числе по предоставлению широкополосного доступа к информационно-телекоммуникационной сети «Интернет»,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42,86% респондентов оценили цены как приемлемо, 42,86% опрошенных ответили «Да, вполне доступные», 14,29% респондентов дали ответ «нет, цены недоступны».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8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Рис.87. Оценка потребителями доступности услуги связи, в том числе по предоставлению широкополосного доступа к информационно-телекоммуникационной сети «Интернет», %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предприятий, оказывающих услуги связи, в том числе по предоставлению широкополосного доступа к информационно-телекоммуникационной сети «Интернет», 42,86% респондентов считают достаточным. 28,57% недостаточным.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8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Рис.88. Оценка выбора доступных негосударственных (немуниципальных) услуги связи, в том числе по предоставлению широкополосного доступа к информационно-телекоммуникационной сети «Интернет»,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организациях, оказывающих услуги связи, в том числе по предоставлению широкополосного доступа к информационно-телекоммуникационной сети «Интернет», 62,50% респондентов считают приемлемыми, 25% респондентов дали ответ «нет, цены недоступны» и 12,5%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8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89. Сравните стоимость услуги связи, в том числе по предоставлению широкополосного доступа к информационно-телекоммуникационной сети «Интернет» в сравнении с соседними регионами услуги связи, в том числе по предоставлению широкополосного доступа к информационно-телекоммуникационной сети «Интернет», %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13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выстраивание партнерских взаимоотношений с представителями органов государственной власти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ЖИЛИЩНОГО СТРОИТЕЛЬСТВА (ЗА ИСКЛЮЧЕНИЕМ МОСКОВСКОГО ФОНДА РЕНОВАЦИИ ЖИЛОЙ ЗАСТРОЙКИ И ИНДИВИДУАЛЬНОГО ЖИЛИЩНОГО СТРОИТЕЛЬСТВА)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На рынке строительства Псковской области значительная доля принадлежит жилищному строительству. 96% строительных компаний и застройщиков, работающий в данной сфере – частные организации.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50% респондентов считают, что в регионе достаточно организаций, оказывающих услуги жилищного строительства (за исключением московского фонда реновации жилой застройки и индивидуального жилищного строительства), и 37,5% недостаточно и 12,5%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67,87% респондентов, полностью устраивает 3,56. Как «неприемлемо низкое» качество предоставляемых услуг оценили 14,29% участников опроса и столько же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8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Рис.90. Оценка качества потребителями услуги жилищного строительства (за исключением Московского фонда реновации жилой застройки и индивидуального жилищного строительства),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42,86% респондентов оценили цены как приемлемо, 28,57% опрошенных ответили «Да, вполне доступные», 14,29% респондентов дали ответ «нет, цены недоступны» и столько же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73020"/>
            <wp:effectExtent l="0" t="0" r="0" b="0"/>
            <wp:docPr id="9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Рис.91. Оценка потребителями доступности услуги жилищного строительства (за исключением Московского фонда реновации жилой застройки и индивидуального жилищного строительства),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предприятий, оказывающих услуги жилищного строительства (за исключением московского фонда реновации жилой застройки и индивидуального жилищного строительства), 33,33% респондентов считают достаточным, 16,67% считают недостаточным. 50%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30475"/>
            <wp:effectExtent l="0" t="0" r="0" b="0"/>
            <wp:docPr id="9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Рис.92. Оценка выбора доступных негосударственных (немуниципальных) услуги жилищного строительства (за исключением Московского фонда реновации жилой застройки и индивидуального жилищного строительства),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, оказывающих услуги жилищного строительства (за исключением московского фонда реновации жилой застройки и индивидуального жилищного строительства), 50% респондентов считают приемлемыми, 25%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9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Рис.93. Сравните стоимость услуги жилищного строительства (за исключением Московского фонда реновации жилой застройки и индивидуального жилищного строительства) в сравнении с соседними регионами услуги жилищного строительства (за исключением Московского фонда реновации жилой застройки и индивидуального жилищного строительства),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13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выстраивание партнерских взаимоотношений с представителями органов государственной власти</w:t>
      </w:r>
    </w:p>
    <w:p>
      <w:pPr>
        <w:pStyle w:val="ListParagraph"/>
        <w:numPr>
          <w:ilvl w:val="0"/>
          <w:numId w:val="13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необходимость осуществления значительных первоначальных капитальных вложений, а также финансово и организационно обеспечивать работу предприятия</w:t>
      </w:r>
    </w:p>
    <w:p>
      <w:pPr>
        <w:pStyle w:val="ListParagraph"/>
        <w:numPr>
          <w:ilvl w:val="0"/>
          <w:numId w:val="13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получение необходимой разрешительной документации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СТРОИТЕЛЬСТВА ОБЪЕКТОВ КАПИТАЛЬНОГО СТРОИТЕЛЬСТВА, ЗА ИСКЛЮЧЕНИЕМ ЖИЛИЩНОГО И ДОРОЖНОГО СТРОИТЕЛЬСТВА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рынке строительства Псковской области значительная доля предприятий, оказывающих услуги строительства объектов капитального строительства, за исключением жилищного и дорожного строительства принадлежит к частному сектору.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50% респондентов считают, что в регионе достаточно организаций, оказывающих услуги строительства объектов капитального строительства, за исключением жилищного и дорожного строительства. 37,5% недостаточно и 12,5%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63,33% респондентов, полностью устраивает 3,34%. Как «неприемлемо низкое» качество предоставляемых услуг оценили 16,67%. 16,67%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9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Рис.94. Оценка качества потребителями услуги строительства объектов капитального строительства, за исключением жилищного и дорожного строительства,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33,33% респондентов оценили цены как приемлемо, 33,33% опрошенных ответили «Да, вполне доступные», 16,67% респондентов дали ответ «нет, цены недоступны» и столько же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9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95. Оценка потребителями доступности услуги строительства объектов капитального строительства, за исключением жилищного и дорожного строительства,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предприятий, оказывающих услуги строительства объектов капитального строительства, за исключением жилищного и дорожного строительства, 42,86% респондентов считают достаточным, недостаточным – 14,29%.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9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Рис.96. Оценка выбора доступн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ости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услуги строительства объектов капитального строительства, за исключением жилищного и дорожного строительства,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строительства объектов капитального строительства, за исключением жилищного и дорожного строительства, 50% респондентов считают приемлемыми. По 25% респондентов дали ответ «нет, цены недоступны» и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9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Рис.97. Сравните стоимость услуги строительства объектов капитального строительства, за исключением жилищного и дорожного строительства в сравнении с соседними регионами услуги строительства объектов капитального строительства, за исключением жилищного и дорожного строительства,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13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необходимость осуществления значительных первоначальных капитальных вложений, а также финансово и организационно обеспечивать работу предприятия</w:t>
      </w:r>
    </w:p>
    <w:p>
      <w:pPr>
        <w:pStyle w:val="ListParagraph"/>
        <w:numPr>
          <w:ilvl w:val="0"/>
          <w:numId w:val="13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получение необходимой разрешительной документации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АРХИТЕКТУРНО-СТРОИТЕЛЬНОГО ПРОЕКТИРОВАНИЯ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рынке архитектурно-строительного проектирования Псковской области значительная доля предприятий (95%) принадлежит к частному сектору.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50% респондентов считают, что в регионе достаточно организаций, оказывающих услуги архитектурно-строительного проектирования. 37,5% недостаточно и 12,5%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54,26% респондентов, полностью устраивает 2,88% Как «неприемлемо низкое» качество предоставляемых услуг оценили 28,57%.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20315"/>
            <wp:effectExtent l="0" t="0" r="0" b="0"/>
            <wp:docPr id="9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Рис.98. Оценка качества потребителями услуги архитектурно-строительного проектирования,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33,33% респондентов оценили цены как приемлемо, 33,33% опрошенных ответили «Да, вполне доступные», 16,67% респондентов дали ответ «нет, цены недоступны» и столько же «затруднились с ответом».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08885"/>
            <wp:effectExtent l="0" t="0" r="0" b="0"/>
            <wp:docPr id="9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Рис.99. Оценка потребителями доступности услуги архитектурно-строительного проектирования, %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организаций, оказывающих услуги архитектурно-строительного проектирования, 42,86% респондентов считают достаточным, недостаточным 14,29.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9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Рис.100. Оценка выбора доступн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ости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услуг архитектурно-строительного проектирования,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, оказывающих услуги архитектурно-строительного проектирования, 50% респондентов считают приемлемыми. По 25% респондентов дали ответ «нет, цены недоступны» и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0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Рис.101. Сравните стоимость услуги архитектурно-строительного проектирования в сравнении с соседними регионами услуги архитектурно-строительного проектирования,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Ощутимых административные барьеры при развитии конкуренции в данной сфере не наблюдается.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ДОРОЖНОЙ ДЕЯТЕЛЬНОСТИ (ЗА ИСКЛЮЧЕНИЕМ ПРОЕКТИРОВАНИЯ)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42,86% респондентов считают, что в регионе достаточно организаций, оказывающих услуги дорожной деятельности (за исключением проектирования). 42,86% недостаточно и 14,29%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Устраивает качество предоставляемых услуг 31,64% респондентов, полностью устраивает 1,69% Как «неприемлемо низкое» качество предоставляемых услуг оценили 66,67%.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0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102. Оценка качества потребителями услуги дорожной деятельности (за исключением проектирования),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33,33% респондентов оценили цены как приемлемо, 33,33% опрошенных ответили «Да, вполне доступные», 16,67% респондентов дали ответ «нет, цены недоступны» и столько же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0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103. Оценка потребителями доступности услуги дорожной деятельности (за исключением проектирования),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организаций, оказывающих услуги дорожной деятельности (за исключением проектирования), 42,86% респондентов считают достаточным, недостаточным 14,29.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0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104. Оценка выбора доступных негосударственных (немуниципальных) услуги дорожной деятельности (за исключением проектирования),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услуги дорожной деятельности (за исключением проектирования), 44,44% респондентов считают приемлемыми, 33,33% респондентов дали ответ «нет, цены недоступны» и 22,22%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0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105. Сравните стоимость услуги дорожной деятельности (за исключением проектирования) в сравнении с соседними регионами услуги дорожной деятельности (за исключением проектирования),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административные барьеры при развитии конкуренции в данной сфере:</w:t>
      </w:r>
    </w:p>
    <w:p>
      <w:pPr>
        <w:pStyle w:val="ListParagraph"/>
        <w:numPr>
          <w:ilvl w:val="0"/>
          <w:numId w:val="14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необходимость получения разрешения на строительство, на ввод объекта в эксплуатацию, заключения государственной экспертизы проектной документации и прочих разрешительных документов</w:t>
      </w:r>
    </w:p>
    <w:p>
      <w:pPr>
        <w:pStyle w:val="ListParagraph"/>
        <w:numPr>
          <w:ilvl w:val="0"/>
          <w:numId w:val="14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трудности, связанные с введением института СРО</w:t>
      </w:r>
    </w:p>
    <w:p>
      <w:pPr>
        <w:pStyle w:val="ListParagraph"/>
        <w:numPr>
          <w:ilvl w:val="0"/>
          <w:numId w:val="14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необходимость осуществления значительных первоначальных капитальных вложений, а также финансово и организационно обеспечивать работу предприятия</w:t>
      </w:r>
    </w:p>
    <w:p>
      <w:pPr>
        <w:pStyle w:val="ListParagraph"/>
        <w:numPr>
          <w:ilvl w:val="0"/>
          <w:numId w:val="14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недостаток финансовых средств у генеральных подрядчиков, зарегистрированных в Псковской области, для уплаты сумм обеспечения участия в конкурсных процедурах государственного заказчика.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КАДАСТРОВЫХ И ЗЕМЛЕУСТРОИТЕЛЬНЫХ РАБОТ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37,5% респондентов считают, что в регионе достаточно организаций, оказывающих услуги кадастровых и землеустроительных работ. 50% недостаточно и 12,5%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40,67% респондентов, полностью устраивает 2,19%. Как «неприемлемо низкое» качество предоставляемых услуг оценили 42,86%.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0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106. Оценка качества потребителями услуги кадастровых и землеустроительных работ,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33,33% респондентов оценили цены как приемлемо, 33,33% опрошенных ответили «Да, вполне доступные», 33,33% респондентов дали ответ «нет, цены недоступны».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0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107. Оценка потребителями доступности услуги кадастровых и землеустроительных работ,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предприятий, оказывающих услуги кадастровых и землеустроительных работ. 42,86% респондентов, недостаточным – 28,57% и столько же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0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108. Оценка выбора доступных негосударственных (немуниципальных) услуги кадастровых и землеустроительных работ, %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кадастровых и землеустроительных работ, 62,50% респондентов считают приемлемыми, 12,5%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0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109. Сравните стоимость услуги кадастровых и землеустроительных работ в сравнении с соседними регионами услуги кадастровых и землеустроительных работ,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Существенных административных барьеров при развитии конкуренции в данной сфере не наблюдается.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РЕАЛИЗАЦИИ СЕЛЬСКОХОЗЯЙСТВЕННОЙ ПРОДУКЦИИ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рынке реализации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сельскохозяйственной продукции работают предприятия разных форм собственности: сельхозпредприятия, личные подсобные и фермерские хозяйства, районные потребительские общества и перерабатывающие предприятия.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37,5% респондентов считают, что в регионе достаточно организаций, оказывающих услуги реализации сельскохозяйственной продукции. 50% недостаточно и 12,5%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Устраивает качество предоставляемых услуг 67,76% респондентов, полностью устраивает 3,66%. Как «неприемлемо низкое» качество предоставляемых услуг оценили 28,57%.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0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110. Оценка качества потребителями услуги реализации сельскохозяйственной продукции,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50% респондентов оценили цены как приемлемо, 33,33% опрошенных ответили «Да, вполне доступные», 16,67% респондентов дали ответ «нет, цены недоступны».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1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111. Оценка потребителями доступности услуги реализации сельскохозяйственной продукции,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Доступность выбора предприятий, услуги реализации сельскохозяйственной продукции. 42,86% респондентов, недостаточным – 28,57% и столько же респондентов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498725"/>
            <wp:effectExtent l="0" t="0" r="0" b="0"/>
            <wp:docPr id="11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112. Оценка выбора доступных негосударственных (немуниципальных) услуг реализации сельскохозяйственной продукции,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услуги реализации сельскохозяйственной продукции, 62,50% респондентов считают приемлемыми, 25% респондентов дали ответ «нет, цены недоступны» и 12,5%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1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113. Сравните стоимость услуг реализации сельскохозяйственной продукции в сравнении с соседними регионами,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Основные административные барьеры в данной сфере: </w:t>
      </w:r>
    </w:p>
    <w:p>
      <w:pPr>
        <w:pStyle w:val="Normal"/>
        <w:numPr>
          <w:ilvl w:val="0"/>
          <w:numId w:val="15"/>
        </w:numPr>
        <w:suppressAutoHyphens w:val="true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сезонность работ и зависимость от погодных условий.</w:t>
      </w:r>
    </w:p>
    <w:p>
      <w:pPr>
        <w:pStyle w:val="Normal"/>
        <w:numPr>
          <w:ilvl w:val="0"/>
          <w:numId w:val="15"/>
        </w:numPr>
        <w:suppressAutoHyphens w:val="true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Высокие налоги</w:t>
      </w:r>
    </w:p>
    <w:p>
      <w:pPr>
        <w:pStyle w:val="Normal"/>
        <w:numPr>
          <w:ilvl w:val="0"/>
          <w:numId w:val="15"/>
        </w:numPr>
        <w:suppressAutoHyphens w:val="true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Низкая закупочная цена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ПЛЕМЕННОГО ЖИВОТНОВОДСТВА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На данном рынке все предприятия относятся к частной собственности, что говорит о высоком уровне конкуренции среди предпринимателей.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37,5% респондентов считают, что в регионе достаточно организаций, оказывающих услуги племенного животноводства и столько же недостаточно. 25%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40,65% респондентов, полностью устраивает 2,21%. Как «неприемлемо низкое» качество предоставляемых услуг оценили 42,86%.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1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114. Оценка качества потребителями услуги реализации племенного животноводства,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50% респондентов оценили цены как приемлемо, 16,67% опрошенных ответили «Да, вполне доступные», 16,67% респондентов дали ответ «нет, цены недоступны» и столько же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1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115. Оценка потребителями доступности услуги племенного животноводства,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предприятий, оказывающих услуги племенного животноводства, 42,86% респондентов считают достаточным, такое же количество затруднились с ответом. 14,29% респондентов ответили «недостаточно».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679700"/>
            <wp:effectExtent l="0" t="0" r="0" b="0"/>
            <wp:docPr id="11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116. Оценка выбора доступности негосударственных (немуниципальных) услуги племенного животноводства,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организациях, оказывающих услуги племенного животноводства, 50% респондентов считают приемлемыми, 25%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1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117.  Сравните стоимость услуги племенного животноводства в сравнении с соседними регионами услуги племенного животноводства</w:t>
      </w:r>
    </w:p>
    <w:p>
      <w:pPr>
        <w:pStyle w:val="Normal"/>
        <w:spacing w:lineRule="auto" w:line="360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Основными административными барьерами при развитии конкуренции в данной сфере являются:</w:t>
      </w:r>
    </w:p>
    <w:p>
      <w:pPr>
        <w:pStyle w:val="ListParagraph"/>
        <w:numPr>
          <w:ilvl w:val="0"/>
          <w:numId w:val="16"/>
        </w:numPr>
        <w:suppressAutoHyphens w:val="true"/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высокая первоначальная стоимость основных средств;</w:t>
      </w:r>
    </w:p>
    <w:p>
      <w:pPr>
        <w:pStyle w:val="ListParagraph"/>
        <w:numPr>
          <w:ilvl w:val="0"/>
          <w:numId w:val="16"/>
        </w:numPr>
        <w:suppressAutoHyphens w:val="true"/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длительный период окупаемости; </w:t>
      </w:r>
    </w:p>
    <w:p>
      <w:pPr>
        <w:pStyle w:val="ListParagraph"/>
        <w:numPr>
          <w:ilvl w:val="0"/>
          <w:numId w:val="16"/>
        </w:numPr>
        <w:suppressAutoHyphens w:val="true"/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низкий процент рентабельности; сезонность работ и зависимость от погодных условий.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СЕМЕНОВОДСТВА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Результаты исследования показали, что 25% респондентов считают, что в регионе достаточно организаций, оказывающих услуги семеноводства. 50% недостаточно и 25%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40,63% респондентов, полностью устраивает 2,22%. Как «неприемлемо низкое» качество предоставляемых услуг оценили 42,86%.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633345"/>
            <wp:effectExtent l="0" t="0" r="0" b="0"/>
            <wp:docPr id="11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118. Оценка качества потребителями услуги семеноводства,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50% респондентов оценили цены как приемлемо, 16,67% опрошенных ответили «Да, вполне доступные», 16,67% респондентов дали ответ «нет, цены недоступны» и столько же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1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119. Оценка потребителями доступности услуги семеноводства,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оказывающих услуги семеноводства, 42,86% респондентов считают достаточным, такое же количество затруднились с ответом. 14,29% респондентов ответили «недостаточно».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20315"/>
            <wp:effectExtent l="0" t="0" r="0" b="0"/>
            <wp:docPr id="11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120. Оценка выбора доступных негосударственных (немуниципальных) услуги семеноводства,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семеноводства, 50% респондентов считают приемлемыми, 25%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51430"/>
            <wp:effectExtent l="0" t="0" r="0" b="0"/>
            <wp:docPr id="12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121. Сравните стоимость услуги семеноводства в сравнении с соседними регионами услуги семеноводства,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Основными административными барьерами при развитии конкуренции в данной сфере являются:</w:t>
      </w:r>
    </w:p>
    <w:p>
      <w:pPr>
        <w:pStyle w:val="ListParagraph"/>
        <w:numPr>
          <w:ilvl w:val="0"/>
          <w:numId w:val="16"/>
        </w:numPr>
        <w:suppressAutoHyphens w:val="true"/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высокая первоначальная стоимость основных средств;</w:t>
      </w:r>
    </w:p>
    <w:p>
      <w:pPr>
        <w:pStyle w:val="ListParagraph"/>
        <w:numPr>
          <w:ilvl w:val="0"/>
          <w:numId w:val="16"/>
        </w:numPr>
        <w:suppressAutoHyphens w:val="true"/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длительный период окупаемости; </w:t>
      </w:r>
    </w:p>
    <w:p>
      <w:pPr>
        <w:pStyle w:val="ListParagraph"/>
        <w:numPr>
          <w:ilvl w:val="0"/>
          <w:numId w:val="16"/>
        </w:numPr>
        <w:suppressAutoHyphens w:val="true"/>
        <w:spacing w:lineRule="auto" w:line="36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низкий процент рентабельности; сезонность работ и зависимость от погодных условий.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ВЫЛОВА ВОДНЫХ БИОРЕСУРСОВ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25% респондентов считают, что в регионе достаточно организаций, оказывающих услуги вылова водных биоресурсов. По 37,5% опрошенных дали ответ «недостаточно» и «затрудняюсь ответить».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40,62% респондентов, полностью устраивает 2,24%. Как «неприемлемо низкое» качество предоставляемых услуг оценили 42,86%.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2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122. Оценка качества потребителями услуги вылова водных биоресурсов,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40% респондентов оценили цены как приемлемо. По 20% респондентов дали ответ «Да, вполне доступные», «Нет, цены недоступны» и «Затрудняюсь ответить».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2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123. Оценка потребителями доступности услуги вылова водных биоресурсов,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Доступность выбора предприятий, оказывающих услуги вылова водных биоресурсов, 28,57% респондентов считают достаточным, такое же количество «недостаточно». 42,86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2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Рис.124. Оценка выбора доступных негосударственных (немуниципальных) услуги вылова водных биоресурсов, %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племенного животноводства, 50% респондентов считают приемлемыми, 25%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2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125. Сравните стоимость услуги вылова водных биоресурсов в сравнении с соседними регионами услуги вылова водных биоресурсов,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Существенных административных барьеров при развитии конкуренции в данной сфере не наблюдается.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ТОВАРНАЯ АКВАКУЛЬТУРЫ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данном рынке все предприятия относятся к частной собственности, что говорит о высоком уровне конкуренции среди предпринимателей.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28,57% респондентов считают, что в регионе достаточно организаций, данным видом деятельности, и 42,86% недостаточно и 28,57%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Устраивает качество предоставляемых услуг 63,17% респондентов, полностью устраивает 3,50%. Как «неприемлемо низкое» качество предоставляемых услуг оценили 33,33%.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2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126. Оценка качества потребителями товарная аквакультуры,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50% респондентов оценили цены как приемлемо. По 16,67% опрошенных ответили «Да, вполне доступные», «Нет, цены недоступны» и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2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127. Оценка потребителями доступности товарная аквакультуры,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занимающихся товарной аквакультурой, 28,5%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2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128. Оценка выбора доступных негосударственных (немуниципальных) товарная аквакультуры,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занимающихся товарной аквакультурой, 50% респондентов считают приемлемыми, 25%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2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129. Сравните стоимость товарная аквакультуры в сравнении с соседними регионами товарная аквакультуры,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Существенных административных барьеров при развитии конкуренции в данной сфере не наблюдается.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ДОБЫЧИ ОБЩЕРАСПРОСТРАНЕННЫХ ПОЛЕЗНЫХ ИСКОПАЕМЫХ НА УЧАСТКАХ НЕДР МЕСТНОГО ЗНАЧЕНИЯ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37,50% респондентов считают, что в регионе достаточно организаций, оказывающих услуги добычи общераспространенных полезных ископаемых на участках недр местного значения, 25% недостаточно и 37,5%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54,13% респондентов, полностью устраивает 3,02%. Как «неприемлемо низкое» качество предоставляемых услуг оценили 28,57%.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2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130. Оценка качества потребителями услуги добычи общераспространенных полезных ископаемых на участках недр местного значения,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50% респондентов оценили цены как приемлемо. По 16,67% опрошенных ответили «Да, вполне доступные», «Нет, цены недоступны» и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3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131. Оценка потребителями доступности услуги добычи общераспространенных полезных ископаемых на участках недр местного значения,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оказывающих услуги добычи общераспространенных полезных ископаемых на участках недр местного значения, 28,5%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3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132. Оценка выбора доступных негосударственных (немуниципальных) услуги добычи общераспространенных полезных ископаемых на участках недр местного значения,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оказывающих услуги добычи общераспространенных полезных ископаемых на участках недр местного значения, 50% респондентов считают приемлемыми, 25%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3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133. Сравните стоимость услуги добычи общераспространенных полезных ископаемых на участках недр местного значения в сравнении с соседними регионами услуги добычи общераспространенных полезных ископаемых на участках недр местного значения,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Существенных административных барьеров при развитии конкуренции в данной сфере не наблюдается.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РЫНОК НЕФТЕПРОДУКТОВ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12,5% респондентов считают, что в регионе достаточно организаций, занимающихся продажей нефтепродуктов. 50% недостаточно и 37,5%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54,11% респондентов, полностью устраивает 3,03%. Как «неприемлемо низкое» качество предоставляемых услуг оценили 28,57%.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3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134. Оценка качества потребителями рынок нефтепродуктов,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33,33% респондентов оценили цены как приемлемо и «Да, вполне доступные». По 16,67% опрошенных ответили «Нет, цены недоступны» и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3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135. Оценка потребителями доступности рынок нефтепродуктов,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предприятий, занимающихся продажей нефтепродуктов, 28,5%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498725"/>
            <wp:effectExtent l="0" t="0" r="0" b="0"/>
            <wp:docPr id="13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136. Оценка выбора доступных негосударственных (немуниципальных) рынок нефтепродуктов,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</w:t>
      </w:r>
      <w:r>
        <w:rPr>
          <w:rFonts w:cs="Times New Roman" w:ascii="Times New Roman" w:hAnsi="Times New Roman"/>
          <w:sz w:val="28"/>
          <w:szCs w:val="28"/>
        </w:rPr>
        <w:t xml:space="preserve">по </w:t>
      </w:r>
      <w:r>
        <w:rPr>
          <w:rFonts w:cs="Times New Roman" w:ascii="Times New Roman" w:hAnsi="Times New Roman"/>
          <w:sz w:val="28"/>
          <w:szCs w:val="28"/>
        </w:rPr>
        <w:t xml:space="preserve">продажей нефтепродуктов, 50% респондентов считают приемлемыми, 25%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647315"/>
            <wp:effectExtent l="0" t="0" r="0" b="0"/>
            <wp:docPr id="13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137. Сравните стоимость рынок нефтепродуктов в сравнении с соседними регионами рынок нефтепродуктов,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Основными административными барьерами при развитии конкуренции в данной сфере являются:</w:t>
      </w:r>
    </w:p>
    <w:p>
      <w:pPr>
        <w:pStyle w:val="ListParagraph"/>
        <w:numPr>
          <w:ilvl w:val="0"/>
          <w:numId w:val="17"/>
        </w:numPr>
        <w:spacing w:lineRule="auto" w:line="360" w:before="0" w:after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сроки окупаемости </w:t>
      </w:r>
    </w:p>
    <w:p>
      <w:pPr>
        <w:pStyle w:val="ListParagraph"/>
        <w:numPr>
          <w:ilvl w:val="0"/>
          <w:numId w:val="17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капитальные затраты и объем первоначальных инвестиций, необходимых для входа на товарный рынок</w:t>
      </w:r>
    </w:p>
    <w:p>
      <w:pPr>
        <w:pStyle w:val="ListParagraph"/>
        <w:numPr>
          <w:ilvl w:val="0"/>
          <w:numId w:val="17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определенные ограничения при получении земельных участков и строительстве автозаправочных станций</w:t>
      </w:r>
    </w:p>
    <w:p>
      <w:pPr>
        <w:pStyle w:val="Normal"/>
        <w:spacing w:lineRule="auto" w:line="360" w:before="0" w:after="0"/>
        <w:ind w:left="36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РЫНОК ЛЕГКОЙ ПРОМЫШЛЕННОСТИ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Рынок легкой промышленности характеризуется высоким уровнем конкуренции. Основной долю занимают предприятия частной собственности (96%) и 4% - предприятия смешанной формы собственности с иностранным участием. 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42,86% респондентов считают, что в регионе достаточно организаций, </w:t>
      </w:r>
      <w:r>
        <w:rPr>
          <w:rFonts w:cs="Times New Roman" w:ascii="Times New Roman" w:hAnsi="Times New Roman"/>
          <w:sz w:val="28"/>
          <w:szCs w:val="28"/>
        </w:rPr>
        <w:t>в сфере легкой промышленности</w:t>
      </w:r>
      <w:r>
        <w:rPr>
          <w:rFonts w:cs="Times New Roman" w:ascii="Times New Roman" w:hAnsi="Times New Roman"/>
          <w:sz w:val="28"/>
          <w:szCs w:val="28"/>
        </w:rPr>
        <w:t xml:space="preserve"> и 28,57% недостаточно и 28,57%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Устраивает качество предоставляемых услуг 67,61% респондентов, полностью устраивает 3,81%. Как «неприемлемо низкое» качество предоставляемых услуг оценили 28,57%.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3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138. Оценка качества потребителями рынок легкой промышленности,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33,33% респондентов оценили цены как приемлемо и «Да, вполне доступные». По 16,67% опрошенных ответили «Нет, цены недоступны» и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594610"/>
            <wp:effectExtent l="0" t="0" r="0" b="0"/>
            <wp:docPr id="13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139. Оценка потребителями доступности рынок легкой промышленности,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предприятий, занимающихся легкой промышленностью, 28,5%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626360"/>
            <wp:effectExtent l="0" t="0" r="0" b="0"/>
            <wp:docPr id="13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140. Оценка выбора доступных негосударственных (немуниципальных) рынок легкой промышленности, %</w:t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</w:t>
      </w:r>
      <w:r>
        <w:rPr>
          <w:rFonts w:cs="Times New Roman" w:ascii="Times New Roman" w:hAnsi="Times New Roman"/>
          <w:sz w:val="28"/>
          <w:szCs w:val="28"/>
        </w:rPr>
        <w:t>сфере</w:t>
      </w:r>
      <w:r>
        <w:rPr>
          <w:rFonts w:cs="Times New Roman" w:ascii="Times New Roman" w:hAnsi="Times New Roman"/>
          <w:sz w:val="28"/>
          <w:szCs w:val="28"/>
        </w:rPr>
        <w:t xml:space="preserve"> легкой промышленностью, 75% респондентов считают приемлемыми, 12,5% респондентов дали ответ «нет, цены недоступны» столько же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4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142. Сравните стоимость рынок легкой промышленности в сравнении с соседними регионами рынок легкой промышленности,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Существенных административных барьеров при развитии конкуренции в данной сфере не наблюдается.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ОБРАБОТКИ ДРЕВЕСИНЫ И ПРОИЗВОДСТВА ИЗДЕЛИЙ ИЗ ДЕРЕВА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Рынок обработки древесины и производства изделий из дерева характеризуется высоким уровнем конкуренции. Основной долю занимают предприятия частной собственности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37,50% респондентов считают, что в регионе достаточно организаций, занимающихся обработкой древесины и производством изделий из дерева. 25% недостаточно и 37,5%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57,07% респондентов, полностью устраивает 3,07%. Как «неприемлемо низкое» качество предоставляемых услуг оценили 28,57%.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4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143. Оценка качества потребителями обработки древесины и производства изделий из дерева,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по 40% респондентов оценили цены как приемлемо и «Да, вполне доступные», 20%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4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144. Оценка потребителями доступности обработки древесины и производства изделий из дерева,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негосударственных предприятий, занимающихся обработкой древесины и производством изделий из дерева, 28,5%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4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145. Оценка выбора доступных негосударственных (немуниципальных) обработки древесины и производства изделий из дерева,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организациях, занимающихся обработкой древесины и производством изделий из дерева, 50% респондентов считают приемлемыми, 25%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4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146. Сравните стоимость обработки древесины и производства изделий из дерева в сравнении с соседними регионами обработки древесины и производства изделий из дерева,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Существенных административных барьеров при развитии конкуренции в данной сфере не наблюдается.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ПРОИЗВОДСТВО КИРПИЧА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Рынок производства кирпича характеризуется высоким уровнем конкуренции. Основной долю занимают предприятия частной собственности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12,5% респондентов считают, что в регионе достаточно организаций, занимающихся производством кирпича. 50% недостаточно и 37,5%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40,54% респондентов, полностью устраивает 2,31%. Как «неприемлемо низкое» качество предоставляемых услуг оценили 42,86%.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4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147. Оценка качества потребителями производство кирпича,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33,33% респондентов оценили цены как приемлемо и «Да, вполне доступные». По 16,67% опрошенных ответили «Нет, цены недоступны» и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4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148. Оценка потребителями доступности производство кирпича,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предприятий, занимающихся производством кирпича, 28,5%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4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149. Оценка выбора доступных негосударственных (немуниципальных) производство кирпича,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организациях, занимающихся производством кирпича, 50% респондентов считают приемлемыми, 25%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4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150. Сравните стоимость производство кирпича в сравнении с соседними регионами производство кирпича,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Существенных административных барьеров при развитии конкуренции в данной сфере не наблюдается.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ПРОИЗВОДСТВО БЕТОНА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Рынок производства бетона характеризуется высоким уровнем конкуренции. Основной долю занимают предприятия частной собственности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37,50% респондентов считают, что в регионе достаточно организаций, занимающихся производством бетона. 25% недостаточно и 37,5%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40,53% респондентов, полностью устраивает 2,33%. Как «неприемлемо низкое» качество предоставляемых услуг оценили 42,86%.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4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151. Оценка качества потребителями производство бетона,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33,33% респондентов оценили цены как приемлемо и «Да, вполне доступные». По 16,67% опрошенных ответили «Нет, цены недоступны» и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5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152. Оценка потребителями доступности производство бетона,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предприятий, занимающихся производством бетона, 28,57%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5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153. Оценка выбора доступных негосударственных (немуниципальных) производство бетона,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негосударственных организациях, занимающихся производством бетона, 50% респондентов считают приемлемыми, 25%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5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154. Сравните стоимость производство бетона в сравнении с соседними регионами производство бетона,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Существенных административных барьеров при развитии конкуренции в данной сфере не наблюдается.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СФЕРА НАРУЖНОЙ РЕКЛАМЫ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Рынок наружной рекламы характеризуется высоким уровнем конкуренции. Основной долю занимают предприятия частной собственности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25% респондентов считают, что в регионе достаточно организаций, занимающихся наружной рекламой. 37,5% недостаточно и такое же число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54,02% респондентов, полностью устраивает 2,33%. Как «неприемлемо низкое» качество предоставляемых услуг оценили 42,86%. 14,29% участников опроса затруднились с ответом.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5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155. Оценка качества потребителями сфера наружной рекламы,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Отвечая на вопрос о стоимости доступных предложений в данной отрасли 33,33% респондентов оценили цены как приемлемо и «Да, вполне доступные». По 16,67% опрошенных ответили «Нет, цены недоступны» и «затруднились с ответом».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5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156. Оценка потребителями доступности сфера наружной рекламы,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Доступность выбора  предприятий, занимающихся наружной рекламой, 28,57% респондентов считают достаточным, такое же количество недостаточным. 42,86% респондентов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5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157. Оценка выбора доступных негосударственных (немуниципальных) сфера наружной рекламы,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</w:t>
      </w:r>
      <w:r>
        <w:rPr>
          <w:rFonts w:cs="Times New Roman" w:ascii="Times New Roman" w:hAnsi="Times New Roman"/>
          <w:sz w:val="28"/>
          <w:szCs w:val="28"/>
        </w:rPr>
        <w:t>в сфере</w:t>
      </w:r>
      <w:r>
        <w:rPr>
          <w:rFonts w:cs="Times New Roman" w:ascii="Times New Roman" w:hAnsi="Times New Roman"/>
          <w:sz w:val="28"/>
          <w:szCs w:val="28"/>
        </w:rPr>
        <w:t xml:space="preserve"> наружной рекламой, 62,50% респондентов считают приемлемыми, 12,5% респондентов дали ответ «нет, цены недоступны» и 25%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5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158. Сравните стоимость сфера наружной рекламы в сравнении с соседними регионами сфера наружной рекламы,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Существенных административных барьеров при развитии конкуренции в данной сфере не наблюдается.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УСЛУГИ ТУРИЗМА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Рынок наружной рекламы характеризуется высоким уровнем конкуренции и доминированием частных организаций над государственными и муниципальными организациями.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Результаты исследования показали, что 62,5% респондентов считают, что в регионе достаточно организаций, оказывающих услуги в сфере туризма. 37,5% недостаточно и столько же опрошенных затруднились с ответом.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Устраивает качество предоставляемых услуг 70,88% респондентов, полностью устраивает 4,12%. Как «неприемлемо низкое» качество предоставляемых услуг оценили 25%.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5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159. Оценка качества потребителями Услуги туризма,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Отвечая на вопрос о стоимости доступных предложений в данной отрасли 57,14% респондентов оценили цены как приемлемо, 28,57% опрошенных ответили «Да, вполне доступные», 14,29% респондентов дали ответ «нет, цены недоступны».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5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160. Оценка потребителями доступности услуги туризма,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Доступность выбора предприятий оказывающих услуги в сфере туризма, 25% респондентов считают достаточным, такое же количество респондентов затруднились с ответом. 37,5% опрошенных считают недостаточным выбор негосударственных предприятий, оказывающих услуги в сфере туризма и 12,5% избыточным.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5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161. Оценка выбора доступных негосударственных (немуниципальных) услуги туризма,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Стоимость услуг в организациях, оказывающих услуги в сфере туризма, 50% респондентов считают приемлемыми, 37,5% респондентов дали ответ «нет, цены недоступны» и 12,5% затруднились с ответом.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6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Рис. 162. Сравните стоимость услуги туризма в сравнении с соседними регионами услуги туризма,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Существенных административных барьеров при развитии конкуренции в данной сфере не наблюдается.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r>
        <w:br w:type="page"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Раздел 4</w:t>
      </w:r>
      <w:r>
        <w:rPr>
          <w:rFonts w:cs="Times New Roman" w:ascii="Times New Roman" w:hAnsi="Times New Roman"/>
          <w:b/>
          <w:sz w:val="28"/>
          <w:szCs w:val="28"/>
        </w:rPr>
        <w:t>2</w:t>
      </w:r>
      <w:r>
        <w:rPr>
          <w:rFonts w:cs="Times New Roman" w:ascii="Times New Roman" w:hAnsi="Times New Roman"/>
          <w:b/>
          <w:sz w:val="28"/>
          <w:szCs w:val="28"/>
        </w:rPr>
        <w:t xml:space="preserve"> Результаты проведенного экспертный опрос предпринимателей Псковской области методом анкетирования по месту доступности респондентов с условным разделением выборки на крупных, средних и мелких предпринимателей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В каком муниципальном районе (городском округе) псковской области вы ведете вашу предпринимательскую деятельность?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Основная часть респондентов (39,05%) было опрошено в г. Псков, 13,93% в г. Великие Луки. Остальные респонденты из числа предпринимателей (47,02%) на момент проведения исследования находились в административных районах Псковской области.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/>
        <w:drawing>
          <wp:inline distT="0" distB="0" distL="0" distR="0">
            <wp:extent cx="5975350" cy="4961890"/>
            <wp:effectExtent l="0" t="0" r="0" b="0"/>
            <wp:docPr id="16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Рис. 1. География респондентов из числа субъектов предпринимательства, %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ОБЩАЯ ХАРАКТЕРИСТИКА ВЫБОРКИ</w:t>
      </w:r>
    </w:p>
    <w:p>
      <w:pPr>
        <w:pStyle w:val="S6"/>
        <w:spacing w:lineRule="auto" w:line="360" w:beforeAutospacing="0" w:before="0" w:afterAutospacing="0" w:after="0"/>
        <w:ind w:firstLine="851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В мониторинге, посвященному исследованию мониторинга состояния и развития конкурентной среды на рынках товаров, работ и услуг Псковской области приняли участие 2000 респондентов в возрасте от 18 лет. Из них 53,7% женщин и 46,3% мужчин.  </w:t>
      </w:r>
      <w:r>
        <w:rPr>
          <w:sz w:val="28"/>
          <w:szCs w:val="28"/>
        </w:rPr>
        <w:t xml:space="preserve">Большинство респондентов имеют высшее образование (47,1%) и средне специальное (41,2%). </w:t>
      </w:r>
    </w:p>
    <w:p>
      <w:pPr>
        <w:pStyle w:val="Normal"/>
        <w:spacing w:lineRule="auto" w:line="36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Почти треть опрошенных имеет среднемесячный доход на одного члена семьи от 10 до 20 тыс. рублей (29,4%), от 20 до 30 тыс. доход получают  - 23,5% участников опроса, а от 30 до 45 тыс. руб 14,5%. По мнению 11,8% респондентов  они имеют  доход на члена семьи  менее 10 тыс  и более 45 тыс рублей. Затруднились ответить на вопрос 9 % респондентов.</w:t>
      </w:r>
    </w:p>
    <w:p>
      <w:pPr>
        <w:pStyle w:val="Normal"/>
        <w:spacing w:lineRule="auto" w:line="36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Большая часть опрошенных имеют постоянную работу: из них 41,2% работают в коммерческой сфере, 29,4% респондентов работают в государственной (муниципальной) сфере, 17,6% участников заняты домашним хозяйством, находятся в декретном отпуске, отпуске по уходу за ребенком, 5,8% опрошенных учащиеся/студенты, 6% участников опроса пенсионеры. </w:t>
      </w:r>
    </w:p>
    <w:p>
      <w:pPr>
        <w:pStyle w:val="Normal"/>
        <w:spacing w:lineRule="auto" w:line="36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Большая часть респондентов имеет детей в возрасте до 18 лет  (70,6%).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данным проведенного исследования 57,21 % представляют юридические лица и 42,79 % индивидуальные предприниматели.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2456180"/>
            <wp:effectExtent l="0" t="0" r="0" b="0"/>
            <wp:docPr id="16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Рис. 2. Формы собственности предприятий, %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Наибольшее число опрошенных предпринимателей (39,3 %) ведут свою деятельность на рынке Псковской области более 5 лет. 24,14 % респондентов ответили, что они занимаются предпринимательской деятельностью от 3 до 5. От 1 до 3 лет созданы предприятия у 19,15 % опрошенных. К вновь созданным предпринимателям отнесли себя 17,41 % участников исследования.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2466975"/>
            <wp:effectExtent l="0" t="0" r="0" b="0"/>
            <wp:docPr id="16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4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Рис. 3. Стаж работы предприятий, %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результатам исследования субъекты малого предпринимательства представляли 89,3% респондентов. Компании, относящиеся к средним предприятиям 6,22% и к крупным организациям 4,48% респондентов.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/>
        <w:drawing>
          <wp:inline distT="0" distB="0" distL="0" distR="0">
            <wp:extent cx="5940425" cy="2265045"/>
            <wp:effectExtent l="0" t="0" r="0" b="0"/>
            <wp:docPr id="16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Рис. 4. Категории субъектов предпринимательства, %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ходе исследования были опрошены предприниматели из всех сфер деятельности. ТОП 3 основных сфер бизнеса руководители которых приняли участие в исследовании: </w:t>
      </w:r>
    </w:p>
    <w:p>
      <w:pPr>
        <w:pStyle w:val="ListParagraph"/>
        <w:widowControl w:val="false"/>
        <w:numPr>
          <w:ilvl w:val="0"/>
          <w:numId w:val="1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сфера розничной торговли: 15,17%</w:t>
      </w:r>
    </w:p>
    <w:p>
      <w:pPr>
        <w:pStyle w:val="ListParagraph"/>
        <w:widowControl w:val="false"/>
        <w:numPr>
          <w:ilvl w:val="0"/>
          <w:numId w:val="1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сфера общественного питания: 11,19% </w:t>
      </w:r>
    </w:p>
    <w:p>
      <w:pPr>
        <w:pStyle w:val="ListParagraph"/>
        <w:widowControl w:val="false"/>
        <w:numPr>
          <w:ilvl w:val="0"/>
          <w:numId w:val="11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легкая промышленность: 9,7 %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ОЦЕНКА ПРОБЛЕМ ВЕДЕНИЯ ПРЕДПРИНИМАТЕЛЬСКОЙ ДЕЯТЕЛЬНОСТИ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вопрос «Оцените общие условия ведения бизнеса в Псковской области» 34,83% респондентов ответили, что условия ведения бизнеса «удовлетворительные». 30,35% оценили условия для бизнеса в Псковской области как «хорошие». Как «очень хорошие» оценили 7,46% опрошенных, затруднились с ответом 9,95% респондентов.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6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6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Рис.6 Оценка общих условий ведения бизнеса в Псковской области, %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По результатам опроса предпринимателей Псковской области можно выделить основные проблемы, с которыми чаще всего они сталкиваются:</w:t>
      </w:r>
    </w:p>
    <w:p>
      <w:pPr>
        <w:pStyle w:val="ListParagraph"/>
        <w:numPr>
          <w:ilvl w:val="0"/>
          <w:numId w:val="18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Несовершенство налогового законодательства (высокий уровень налогов, сложность налоговых постановлений). Так ответило 22,72% респондентов</w:t>
      </w:r>
    </w:p>
    <w:p>
      <w:pPr>
        <w:pStyle w:val="ListParagraph"/>
        <w:numPr>
          <w:ilvl w:val="0"/>
          <w:numId w:val="18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</w:rPr>
        <w:t>Высокая конкуренция по мнению 13,85% опрошенных</w:t>
      </w:r>
    </w:p>
    <w:p>
      <w:pPr>
        <w:pStyle w:val="ListParagraph"/>
        <w:numPr>
          <w:ilvl w:val="0"/>
          <w:numId w:val="18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</w:rPr>
        <w:t>Проблема квалифицированных кадров знакомы 10,7 % респондентов</w:t>
      </w:r>
    </w:p>
    <w:p>
      <w:pPr>
        <w:pStyle w:val="ListParagraph"/>
        <w:numPr>
          <w:ilvl w:val="0"/>
          <w:numId w:val="18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Сложность с размещением бизнеса является проблемой для 9,54 % опрошенных предпринимателей.</w:t>
      </w:r>
    </w:p>
    <w:p>
      <w:pPr>
        <w:pStyle w:val="ListParagraph"/>
        <w:numPr>
          <w:ilvl w:val="0"/>
          <w:numId w:val="18"/>
        </w:numPr>
        <w:spacing w:lineRule="auto" w:line="360" w:before="0" w:after="0"/>
        <w:contextualSpacing/>
        <w:rPr/>
      </w:pPr>
      <w:r>
        <w:rPr>
          <w:rFonts w:cs="Times New Roman" w:ascii="Times New Roman" w:hAnsi="Times New Roman"/>
          <w:bCs/>
          <w:sz w:val="28"/>
          <w:szCs w:val="28"/>
        </w:rPr>
        <w:t xml:space="preserve">Проблемы кредитования деятельности влияют на бизнес 9,12% опрошенных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Субъекты предпринимательской деятельности Псковской области отнесли к наиболее значимыми административными барьерами следующие: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Нестабильность законодательства, регулирующего предпринимательскую деятельность (25,7 %).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К иным барьерам для ведения предпринимательской деятельности респонденты отнесли высокие налоги (19,07 %).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Сложность/затянутость процедуры получения разрешительных документов (регистрация, лицензирование и т.п.) (10,78 %).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 оценке респондентов, за последние 3 года уровень и количество административных барьеров не изменились. Так считает 21,64% опрошенных. 20,4% респондентов отметили, что за последние 3 года бизнесу стало сложнее преодолевать административные барьеры, чем раньше. 11,69 % опрошенных сказали, что бизнесу стало проще преодолевать административные барьеры, чем раньше. Об отсутствии административных барьеров сказало 7,96% опрошенных. О появлении административных барьеров сообщило 2,98% респондентов.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857875" cy="3689350"/>
            <wp:effectExtent l="0" t="0" r="0" b="0"/>
            <wp:docPr id="16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Рис. </w:t>
      </w:r>
      <w:r>
        <w:rPr>
          <w:rFonts w:cs="Times New Roman" w:ascii="Times New Roman" w:hAnsi="Times New Roman"/>
          <w:sz w:val="28"/>
          <w:szCs w:val="28"/>
        </w:rPr>
        <w:t>7</w:t>
      </w:r>
      <w:r>
        <w:rPr>
          <w:rFonts w:cs="Times New Roman" w:ascii="Times New Roman" w:hAnsi="Times New Roman"/>
          <w:sz w:val="28"/>
          <w:szCs w:val="28"/>
        </w:rPr>
        <w:t>. Оценка изменения уровня административных барьеров в течение последних 3 лет на рынке, %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Большая доля респондентов оценивает ситуацию с административными барьерами следующим образом: «Есть барьеры, преодолимые при осуществлении значительных затрат». Такое мнение высказали 48,26% респондентов.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22,89% опрошенных предпринимателей считают, что есть непреодолимые административные барьеры. По мнению 15,42% респондентов административные барьеры есть, но они преодолимы без существенных затрат. Только 13,43% опрошенных предпринимателей говорят, что нет административных барьеров.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848350" cy="3448050"/>
            <wp:effectExtent l="0" t="0" r="0" b="0"/>
            <wp:docPr id="16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</w:rPr>
        <w:t>Рис.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8</w:t>
      </w:r>
      <w:r>
        <w:rPr>
          <w:rFonts w:cs="Times New Roman" w:ascii="Times New Roman" w:hAnsi="Times New Roman"/>
          <w:bCs/>
          <w:sz w:val="28"/>
          <w:szCs w:val="28"/>
        </w:rPr>
        <w:t xml:space="preserve">. </w:t>
      </w:r>
      <w:r>
        <w:rPr>
          <w:rFonts w:eastAsia="MS Gothic" w:cs="Times New Roman" w:ascii="Times New Roman" w:hAnsi="Times New Roman"/>
          <w:iCs/>
          <w:sz w:val="28"/>
          <w:szCs w:val="28"/>
        </w:rPr>
        <w:t>Оценка преодолимости административных барьеров для ведения и открытия нового бизнеса на рынке Псковской области, %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Большая доля респондентов оценивает ситуацию с административными барьерами следующим образом: «Есть барьеры, преодолимые при осуществлении значительных затрат». Такое мнение высказали 48,26% респондентов.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22,89% опрошенных предпринимателей считают, что есть непреодолимые административные барьеры. По мнению 15,42% респондентов административные барьеры есть, но они преодолимы без существенных затрат. Только 13,43% опрошенных предпринимателей говорят, что нет административных барьеров.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848350" cy="3448050"/>
            <wp:effectExtent l="0" t="0" r="0" b="0"/>
            <wp:docPr id="16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bCs/>
          <w:sz w:val="28"/>
          <w:szCs w:val="28"/>
        </w:rPr>
        <w:t>Рис.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9</w:t>
      </w:r>
      <w:r>
        <w:rPr>
          <w:rFonts w:cs="Times New Roman" w:ascii="Times New Roman" w:hAnsi="Times New Roman"/>
          <w:bCs/>
          <w:sz w:val="28"/>
          <w:szCs w:val="28"/>
        </w:rPr>
        <w:t xml:space="preserve">. </w:t>
      </w:r>
      <w:r>
        <w:rPr>
          <w:rFonts w:eastAsia="MS Gothic" w:cs="Times New Roman" w:ascii="Times New Roman" w:hAnsi="Times New Roman"/>
          <w:iCs/>
          <w:sz w:val="28"/>
          <w:szCs w:val="28"/>
        </w:rPr>
        <w:t>Оценка преодолимости административных барьеров для ведения и открытия нового бизнеса на рынке Псковской области, %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42,29% респондентов при ответе на вопрос «Оцените стоимость получения государственных услуг» сказали: «Удовлетворительно».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Скорее удовлетворительно оценило 32,34% опрошенных. Придерживаются мнения, что стоимость государственных услуг скорее неудовлетворительна 7,96%, неудовлетворительно 3,98%. Затруднились ответить 13,43% участников опроса.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6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Рис. 1</w:t>
      </w:r>
      <w:r>
        <w:rPr>
          <w:rFonts w:cs="Times New Roman" w:ascii="Times New Roman" w:hAnsi="Times New Roman"/>
          <w:sz w:val="28"/>
          <w:szCs w:val="28"/>
        </w:rPr>
        <w:t>0</w:t>
      </w:r>
      <w:r>
        <w:rPr>
          <w:rFonts w:cs="Times New Roman" w:ascii="Times New Roman" w:hAnsi="Times New Roman"/>
          <w:sz w:val="28"/>
          <w:szCs w:val="28"/>
        </w:rPr>
        <w:t>. Оценка стоимости получения государственных услуг, %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Мнения участников исследования по оценке сроков предоставления государственных услуг разделились. Так удовлетворены сроком предоставления государственных услуг 12,44% респондентов. Скорее удовлетворены 23,88%, скорее не удовлетворены 23,88%. Не удовлетворены 11,19%. Затруднились ответить 28,61%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7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Рис. 1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>. Оценка сроков предоставления государственных услуг, %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данным проведенного исследования 53,48% респондентов считаю, что на рынке Псковской области сложно открыть новый бизнес. Противоположное мнение о легкости открытия бизнеса в регионе высказали 30,35%. Затруднились с ответом на вопрос 16,17% опрошенных.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7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Рис. 1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Легкость открытия нового бизнеса на рынке Псковской области, %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Среди существенных препятствий при выходе на новые рынки субъектами предпринимательской деятельности Псковской области выделены два фактора: сложность с размещением бизнеса (12,44%) и высокая конкуренция на рынке (12,02%).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Рис. 15. Основные проблемы, препятствующие выходу хозяйствующих субъектов на новые рынки, %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По оценкам субъектов предпринимательской деятельности Псковской области, условия ведения бизнеса для предприятия являются высококонкурентыми и очень высококонкурентыми (29,85% и 19,1 % соответственно).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14,92% предпринимателей оценили ситуацию для собственного предприятия как умеренно конкурентную.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Низка доля оценок «слабая конкуренция» и «нет конкуренции» (9,95% и 3,73% соответственно).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Высока доля ответов «Затрудняюсь ответить» (21,64%).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3157855"/>
            <wp:effectExtent l="0" t="0" r="0" b="0"/>
            <wp:docPr id="17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Рис. 1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>. Оценка уровня конкуренции, %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Субъекты предпринимательской деятельности Псковской области оценили численность конкурентов следующим образом: Большое число конкурентов – 42,79%; 4 и более конкурентов – 37,31%; От 1 до 3 конкурентов – 17,41%. Отсутствие конкурентов отметили только 2,49% представителей предпринимателей.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7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4"/>
              </a:graphicData>
            </a:graphic>
          </wp:inline>
        </w:drawing>
      </w:r>
    </w:p>
    <w:p>
      <w:pPr>
        <w:pStyle w:val="Normal"/>
        <w:spacing w:lineRule="auto" w:line="360" w:before="0" w:after="0"/>
        <w:ind w:firstLine="709"/>
        <w:jc w:val="center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Рис. 1</w:t>
      </w:r>
      <w:r>
        <w:rPr>
          <w:rFonts w:cs="Times New Roman" w:ascii="Times New Roman" w:hAnsi="Times New Roman"/>
          <w:color w:val="000000"/>
          <w:sz w:val="28"/>
          <w:szCs w:val="28"/>
        </w:rPr>
        <w:t>4</w:t>
      </w:r>
      <w:r>
        <w:rPr>
          <w:rFonts w:cs="Times New Roman" w:ascii="Times New Roman" w:hAnsi="Times New Roman"/>
          <w:color w:val="000000"/>
          <w:sz w:val="28"/>
          <w:szCs w:val="28"/>
        </w:rPr>
        <w:t>. Оценка численности конкурентов бизнеса, %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рассмотрении динамики изменения числа конкурентов бизнеса за последние 3 года мы видим следующую картину: 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26,12% респондентов считают, что число конкурентов на их рынке увеличилось на 1-3 конкурента. 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21,39% опрошенных считают, что число конкурентов на рынке не изменилось 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18,66% респондентов из числа субъектов предпринимательства считает, что увеличилось количество конкурентов на 4 и более. 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5,97% респондентов считает, что количество конкурентов сократилось на 1-3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24,88% участников исследования затруднились ответить на данный вопрос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837555" cy="3168650"/>
            <wp:effectExtent l="0" t="0" r="0" b="0"/>
            <wp:docPr id="17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5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Рис. 1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>. Изменение числа конкурентов бизнеса за последние 3 года, %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 данным исследования можно сделать вывод, что состояние конкурентной среды в регионе за прошедший год ухудшилось. Так оценили ситуацию 34,82% респондентов. 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24.88% опрошенных считаю, что ситуация осталась без изменений. Об улучшениях в конкурентной среде розничной торговли сказало 10,45% респондентов. 29,85% опрошенных ответили «Затрудняюсь ответить»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7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6"/>
              </a:graphicData>
            </a:graphic>
          </wp:inline>
        </w:drawing>
      </w:r>
    </w:p>
    <w:p>
      <w:pPr>
        <w:pStyle w:val="Normal"/>
        <w:spacing w:lineRule="auto" w:line="360" w:before="0" w:after="0"/>
        <w:rPr/>
      </w:pPr>
      <w:r>
        <w:rPr>
          <w:rFonts w:cs="Times New Roman" w:ascii="Times New Roman" w:hAnsi="Times New Roman"/>
          <w:sz w:val="28"/>
          <w:szCs w:val="28"/>
        </w:rPr>
        <w:t>Рис. 1</w:t>
      </w:r>
      <w:r>
        <w:rPr>
          <w:rFonts w:cs="Times New Roman" w:ascii="Times New Roman" w:hAnsi="Times New Roman"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>. Изменения состояния конкурентной среды в розничной торговле за последний год, %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>В вопросе изменения количества антиконкурентных действий органов власти и местного самоуправления в сфере розничной торговли мнение респондентов разделилось. Так, 32,33% опрошенных считают что количество действий увеличилось, 29,85%, что осталось на прежнем уровне. 22,89% респондентов говорят, что количество действий уменьшилось и 14,93% затруднились дать оценку по этому вопросу.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76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7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Рис. </w:t>
      </w:r>
      <w:r>
        <w:rPr>
          <w:rFonts w:cs="Times New Roman" w:ascii="Times New Roman" w:hAnsi="Times New Roman"/>
          <w:sz w:val="28"/>
          <w:szCs w:val="28"/>
        </w:rPr>
        <w:t>17</w:t>
      </w:r>
      <w:r>
        <w:rPr>
          <w:rFonts w:cs="Times New Roman" w:ascii="Times New Roman" w:hAnsi="Times New Roman"/>
          <w:sz w:val="28"/>
          <w:szCs w:val="28"/>
        </w:rPr>
        <w:t>. Оценка изменений антиконкурентных действий органов власти и местного самоуправления в сфере розничной торговле за последний год, %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>ОЦЕНКА ВЛИЯНИЯ ЕСТЕСТВЕННЫХ МОНОПОЛИЙ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Оцените степень влияния на вашу деятельность естественных монополий?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результатам проведенного исследования видно, что естественные монополии сильно влияют на бизнес опрошенных субъектов предпринимательства.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/>
        <w:drawing>
          <wp:inline distT="0" distB="0" distL="0" distR="0">
            <wp:extent cx="5741035" cy="2902585"/>
            <wp:effectExtent l="0" t="0" r="0" b="0"/>
            <wp:docPr id="177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8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Рис. </w:t>
      </w:r>
      <w:r>
        <w:rPr>
          <w:rFonts w:cs="Times New Roman" w:ascii="Times New Roman" w:hAnsi="Times New Roman"/>
          <w:sz w:val="28"/>
          <w:szCs w:val="28"/>
        </w:rPr>
        <w:t>18</w:t>
      </w:r>
      <w:r>
        <w:rPr>
          <w:rFonts w:cs="Times New Roman" w:ascii="Times New Roman" w:hAnsi="Times New Roman"/>
          <w:sz w:val="28"/>
          <w:szCs w:val="28"/>
        </w:rPr>
        <w:t>. Оценка влияния на деятельность предпринимателей естественных монополий, %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Респонденты оценили в целом услуг естественных монополий как приемлемое.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Особое внимание стоит обратить на услуги по водоснабжению и воотведению. В этом вопросе респонденты почти одинаково оценили удовлетворенность и неудовлетворённость услугой. Так 39,8% респондентов оценили качество услуг как неприемлемое, 38,06% как приемлемое и 15,92% опрошенных отметили, что их полностью устраивает качество предоставляемых услуг.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082540" cy="2902585"/>
            <wp:effectExtent l="0" t="0" r="0" b="0"/>
            <wp:docPr id="178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9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Рис. </w:t>
      </w:r>
      <w:r>
        <w:rPr>
          <w:rFonts w:cs="Times New Roman" w:ascii="Times New Roman" w:hAnsi="Times New Roman"/>
          <w:sz w:val="28"/>
          <w:szCs w:val="28"/>
        </w:rPr>
        <w:t>19</w:t>
      </w:r>
      <w:r>
        <w:rPr>
          <w:rFonts w:cs="Times New Roman" w:ascii="Times New Roman" w:hAnsi="Times New Roman"/>
          <w:sz w:val="28"/>
          <w:szCs w:val="28"/>
        </w:rPr>
        <w:t>. Качество услуг естественных монополий, %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Оцените стоимость оказываемых услуг естественными монополиями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>Большинство респондентов отметили, что стоимость оказываемых услуг естественными монополиями приемлемая.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79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0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Рис. 2</w:t>
      </w:r>
      <w:r>
        <w:rPr>
          <w:rFonts w:cs="Times New Roman" w:ascii="Times New Roman" w:hAnsi="Times New Roman"/>
          <w:sz w:val="28"/>
          <w:szCs w:val="28"/>
        </w:rPr>
        <w:t>0</w:t>
      </w:r>
      <w:r>
        <w:rPr>
          <w:rFonts w:cs="Times New Roman" w:ascii="Times New Roman" w:hAnsi="Times New Roman"/>
          <w:sz w:val="28"/>
          <w:szCs w:val="28"/>
        </w:rPr>
        <w:t>. Оценка стоимости оказываемых услуг естественными монополиями, %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Большинство участников опроса выделили, что сроки подключения субъектов к естественным монополиям неудовлетворительны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80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1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Рис 2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>. Оценка сроков подключения услуг субъектов естественных монополий в Псковской области, %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Большинство участников опроса (более 40% респондентов) оценили стоимость на подключение к естественным монополиям как высокая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8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2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Рис. 2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>.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Оценка стоимости подключения услуг субъектов естественных монополий в Псковской области, %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>По данным исследования видно, что опрошенные предприниматели оценивают удовлетворительно все три категории «Удобство получения информации» (43,53%), «Уровень понятности» (52,24%), «Уровень доступности» (47,75%).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572000" cy="2743200"/>
            <wp:effectExtent l="0" t="0" r="0" b="0"/>
            <wp:docPr id="18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3"/>
              </a:graphicData>
            </a:graphic>
          </wp:inline>
        </w:drawing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Рис 2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>. Оценка качества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официальной информации о состоянии конкуренции в Псковской области, размещаемой в сети «Интернет»,%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60"/>
        <w:rPr/>
      </w:pPr>
      <w:r>
        <w:rPr/>
      </w:r>
    </w:p>
    <w:sectPr>
      <w:footerReference w:type="default" r:id="rId184"/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Consolas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13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34315" cy="160020"/>
              <wp:effectExtent l="0" t="0" r="0" b="0"/>
              <wp:wrapSquare wrapText="largest"/>
              <wp:docPr id="183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3640" cy="159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116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449.3pt;margin-top:0.05pt;width:18.35pt;height:12.5pt;mso-position-horizontal:right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116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7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9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Plain Text" w:uiPriority="0"/>
    <w:lsdException w:name="HTML Preformatted" w:uiPriority="0"/>
    <w:lsdException w:name="Table Grid" w:uiPriority="0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link w:val="20"/>
    <w:autoRedefine/>
    <w:uiPriority w:val="9"/>
    <w:qFormat/>
    <w:rsid w:val="00247ae1"/>
    <w:pPr>
      <w:keepNext w:val="true"/>
      <w:widowControl w:val="false"/>
      <w:spacing w:lineRule="auto" w:line="240" w:before="0" w:after="0"/>
      <w:jc w:val="center"/>
      <w:outlineLvl w:val="1"/>
    </w:pPr>
    <w:rPr>
      <w:rFonts w:ascii="Times New Roman" w:hAnsi="Times New Roman" w:eastAsia="MS Gothic" w:cs="Times New Roman"/>
      <w:b/>
      <w:bCs/>
      <w:iCs/>
      <w:sz w:val="28"/>
      <w:szCs w:val="28"/>
      <w:lang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247ae1"/>
    <w:rPr>
      <w:rFonts w:ascii="Times New Roman" w:hAnsi="Times New Roman" w:eastAsia="MS Gothic" w:cs="Times New Roman"/>
      <w:b/>
      <w:bCs/>
      <w:iCs/>
      <w:sz w:val="28"/>
      <w:szCs w:val="28"/>
      <w:lang w:eastAsia="ru-RU" w:bidi="ru-RU"/>
    </w:rPr>
  </w:style>
  <w:style w:type="character" w:styleId="Strong">
    <w:name w:val="Strong"/>
    <w:qFormat/>
    <w:rsid w:val="00247ae1"/>
    <w:rPr>
      <w:b/>
      <w:bCs/>
    </w:rPr>
  </w:style>
  <w:style w:type="character" w:styleId="1" w:customStyle="1">
    <w:name w:val="Обычный (веб) Знак1"/>
    <w:link w:val="a7"/>
    <w:uiPriority w:val="99"/>
    <w:qFormat/>
    <w:locked/>
    <w:rsid w:val="00247ae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 w:customStyle="1">
    <w:name w:val="Текст сноски Знак"/>
    <w:basedOn w:val="DefaultParagraphFont"/>
    <w:link w:val="a8"/>
    <w:qFormat/>
    <w:rsid w:val="00247ae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Footnotereference">
    <w:name w:val="footnote reference"/>
    <w:qFormat/>
    <w:rsid w:val="00247ae1"/>
    <w:rPr>
      <w:vertAlign w:val="superscript"/>
    </w:rPr>
  </w:style>
  <w:style w:type="character" w:styleId="HTML" w:customStyle="1">
    <w:name w:val="Стандартный HTML Знак"/>
    <w:basedOn w:val="DefaultParagraphFont"/>
    <w:link w:val="HTML"/>
    <w:qFormat/>
    <w:rsid w:val="00247ae1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11" w:customStyle="1">
    <w:name w:val="Знак сноски1"/>
    <w:uiPriority w:val="99"/>
    <w:qFormat/>
    <w:rsid w:val="00247ae1"/>
    <w:rPr>
      <w:vertAlign w:val="superscript"/>
    </w:rPr>
  </w:style>
  <w:style w:type="character" w:styleId="Style14" w:customStyle="1">
    <w:name w:val="Текст выноски Знак"/>
    <w:basedOn w:val="DefaultParagraphFont"/>
    <w:link w:val="ab"/>
    <w:uiPriority w:val="99"/>
    <w:semiHidden/>
    <w:qFormat/>
    <w:rsid w:val="00247ae1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semiHidden/>
    <w:unhideWhenUsed/>
    <w:rsid w:val="00247ae1"/>
    <w:rPr>
      <w:color w:val="0563C1" w:themeColor="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47ae1"/>
    <w:rPr>
      <w:sz w:val="16"/>
      <w:szCs w:val="16"/>
    </w:rPr>
  </w:style>
  <w:style w:type="character" w:styleId="Style16" w:customStyle="1">
    <w:name w:val="Текст комментария Знак"/>
    <w:basedOn w:val="DefaultParagraphFont"/>
    <w:link w:val="af"/>
    <w:uiPriority w:val="99"/>
    <w:semiHidden/>
    <w:qFormat/>
    <w:rsid w:val="00247ae1"/>
    <w:rPr>
      <w:rFonts w:ascii="Times New Roman" w:hAnsi="Times New Roman"/>
      <w:sz w:val="20"/>
      <w:szCs w:val="20"/>
    </w:rPr>
  </w:style>
  <w:style w:type="character" w:styleId="Style17" w:customStyle="1">
    <w:name w:val="Тема примечания Знак"/>
    <w:basedOn w:val="Style16"/>
    <w:link w:val="af1"/>
    <w:uiPriority w:val="99"/>
    <w:semiHidden/>
    <w:qFormat/>
    <w:rsid w:val="00247ae1"/>
    <w:rPr>
      <w:rFonts w:ascii="Times New Roman" w:hAnsi="Times New Roman"/>
      <w:b/>
      <w:bCs/>
      <w:sz w:val="20"/>
      <w:szCs w:val="20"/>
    </w:rPr>
  </w:style>
  <w:style w:type="character" w:styleId="Style18" w:customStyle="1">
    <w:name w:val="Обычный текст Знак"/>
    <w:basedOn w:val="DefaultParagraphFont"/>
    <w:link w:val="af3"/>
    <w:qFormat/>
    <w:rsid w:val="00247ae1"/>
    <w:rPr>
      <w:rFonts w:ascii="Consolas" w:hAnsi="Consolas" w:eastAsia="Times New Roman" w:cs="Times New Roman"/>
      <w:sz w:val="21"/>
      <w:szCs w:val="21"/>
    </w:rPr>
  </w:style>
  <w:style w:type="character" w:styleId="Zcalculatordisplayresult" w:customStyle="1">
    <w:name w:val="z-calculator-display__result"/>
    <w:basedOn w:val="DefaultParagraphFont"/>
    <w:qFormat/>
    <w:rsid w:val="00247ae1"/>
    <w:rPr/>
  </w:style>
  <w:style w:type="character" w:styleId="Style19" w:customStyle="1">
    <w:name w:val="Верхний колонтитул Знак"/>
    <w:basedOn w:val="DefaultParagraphFont"/>
    <w:link w:val="af5"/>
    <w:uiPriority w:val="99"/>
    <w:qFormat/>
    <w:rsid w:val="00247ae1"/>
    <w:rPr>
      <w:rFonts w:ascii="Calibri" w:hAnsi="Calibri" w:eastAsia="Calibri" w:cs="Calibri"/>
    </w:rPr>
  </w:style>
  <w:style w:type="character" w:styleId="Style20" w:customStyle="1">
    <w:name w:val="Нижний колонтитул Знак"/>
    <w:basedOn w:val="DefaultParagraphFont"/>
    <w:link w:val="af7"/>
    <w:uiPriority w:val="99"/>
    <w:qFormat/>
    <w:rsid w:val="00247ae1"/>
    <w:rPr>
      <w:rFonts w:ascii="Calibri" w:hAnsi="Calibri" w:eastAsia="Calibri" w:cs="Calibri"/>
    </w:rPr>
  </w:style>
  <w:style w:type="character" w:styleId="S10" w:customStyle="1">
    <w:name w:val="s_10"/>
    <w:qFormat/>
    <w:rsid w:val="00247ae1"/>
    <w:rPr/>
  </w:style>
  <w:style w:type="character" w:styleId="Pagenumber">
    <w:name w:val="page number"/>
    <w:basedOn w:val="DefaultParagraphFont"/>
    <w:uiPriority w:val="99"/>
    <w:semiHidden/>
    <w:unhideWhenUsed/>
    <w:qFormat/>
    <w:rsid w:val="00c767fb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ascii="Times New Roman" w:hAnsi="Times New Roman" w:cs="Symbol"/>
      <w:b w:val="false"/>
      <w:bCs w:val="false"/>
      <w:sz w:val="28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ascii="Times New Roman" w:hAnsi="Times New Roman"/>
      <w:b/>
      <w:i w:val="false"/>
      <w:sz w:val="24"/>
    </w:rPr>
  </w:style>
  <w:style w:type="character" w:styleId="ListLabel35">
    <w:name w:val="ListLabel 35"/>
    <w:qFormat/>
    <w:rPr>
      <w:b/>
      <w:i w:val="false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ascii="Times New Roman" w:hAnsi="Times New Roman" w:cs="Symbol"/>
      <w:sz w:val="28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Wingdings"/>
    </w:rPr>
  </w:style>
  <w:style w:type="character" w:styleId="ListLabel69">
    <w:name w:val="ListLabel 69"/>
    <w:qFormat/>
    <w:rPr>
      <w:rFonts w:ascii="Times New Roman" w:hAnsi="Times New Roman" w:cs="Symbol"/>
      <w:sz w:val="28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Wingdings"/>
    </w:rPr>
  </w:style>
  <w:style w:type="character" w:styleId="ListLabel72">
    <w:name w:val="ListLabel 72"/>
    <w:qFormat/>
    <w:rPr>
      <w:rFonts w:cs="Symbol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Wingdings"/>
    </w:rPr>
  </w:style>
  <w:style w:type="character" w:styleId="ListLabel75">
    <w:name w:val="ListLabel 75"/>
    <w:qFormat/>
    <w:rPr>
      <w:rFonts w:cs="Symbol"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Wingdings"/>
    </w:rPr>
  </w:style>
  <w:style w:type="character" w:styleId="ListLabel78">
    <w:name w:val="ListLabel 78"/>
    <w:qFormat/>
    <w:rPr>
      <w:rFonts w:ascii="Times New Roman" w:hAnsi="Times New Roman" w:cs="Symbol"/>
      <w:sz w:val="28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Symbol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Wingdings"/>
    </w:rPr>
  </w:style>
  <w:style w:type="character" w:styleId="ListLabel87">
    <w:name w:val="ListLabel 87"/>
    <w:qFormat/>
    <w:rPr>
      <w:rFonts w:ascii="Times New Roman" w:hAnsi="Times New Roman" w:cs="Symbol"/>
      <w:sz w:val="28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cs="Wingdings"/>
    </w:rPr>
  </w:style>
  <w:style w:type="character" w:styleId="ListLabel90">
    <w:name w:val="ListLabel 90"/>
    <w:qFormat/>
    <w:rPr>
      <w:rFonts w:cs="Symbol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Wingdings"/>
    </w:rPr>
  </w:style>
  <w:style w:type="character" w:styleId="ListLabel93">
    <w:name w:val="ListLabel 93"/>
    <w:qFormat/>
    <w:rPr>
      <w:rFonts w:cs="Symbol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Wingdings"/>
    </w:rPr>
  </w:style>
  <w:style w:type="character" w:styleId="ListLabel96">
    <w:name w:val="ListLabel 96"/>
    <w:qFormat/>
    <w:rPr>
      <w:rFonts w:ascii="Times New Roman" w:hAnsi="Times New Roman" w:cs="Symbol"/>
      <w:sz w:val="28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Wingdings"/>
    </w:rPr>
  </w:style>
  <w:style w:type="character" w:styleId="ListLabel99">
    <w:name w:val="ListLabel 99"/>
    <w:qFormat/>
    <w:rPr>
      <w:rFonts w:cs="Symbol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Wingdings"/>
    </w:rPr>
  </w:style>
  <w:style w:type="character" w:styleId="ListLabel102">
    <w:name w:val="ListLabel 102"/>
    <w:qFormat/>
    <w:rPr>
      <w:rFonts w:cs="Symbol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Wingdings"/>
    </w:rPr>
  </w:style>
  <w:style w:type="character" w:styleId="ListLabel105">
    <w:name w:val="ListLabel 105"/>
    <w:qFormat/>
    <w:rPr>
      <w:rFonts w:ascii="Times New Roman" w:hAnsi="Times New Roman" w:cs="Symbol"/>
      <w:sz w:val="28"/>
    </w:rPr>
  </w:style>
  <w:style w:type="character" w:styleId="ListLabel106">
    <w:name w:val="ListLabel 106"/>
    <w:qFormat/>
    <w:rPr>
      <w:rFonts w:cs="Courier New"/>
    </w:rPr>
  </w:style>
  <w:style w:type="character" w:styleId="ListLabel107">
    <w:name w:val="ListLabel 107"/>
    <w:qFormat/>
    <w:rPr>
      <w:rFonts w:cs="Wingdings"/>
    </w:rPr>
  </w:style>
  <w:style w:type="character" w:styleId="ListLabel108">
    <w:name w:val="ListLabel 108"/>
    <w:qFormat/>
    <w:rPr>
      <w:rFonts w:cs="Symbol"/>
    </w:rPr>
  </w:style>
  <w:style w:type="character" w:styleId="ListLabel109">
    <w:name w:val="ListLabel 109"/>
    <w:qFormat/>
    <w:rPr>
      <w:rFonts w:cs="Courier New"/>
    </w:rPr>
  </w:style>
  <w:style w:type="character" w:styleId="ListLabel110">
    <w:name w:val="ListLabel 110"/>
    <w:qFormat/>
    <w:rPr>
      <w:rFonts w:cs="Wingdings"/>
    </w:rPr>
  </w:style>
  <w:style w:type="character" w:styleId="ListLabel111">
    <w:name w:val="ListLabel 111"/>
    <w:qFormat/>
    <w:rPr>
      <w:rFonts w:cs="Symbol"/>
    </w:rPr>
  </w:style>
  <w:style w:type="character" w:styleId="ListLabel112">
    <w:name w:val="ListLabel 112"/>
    <w:qFormat/>
    <w:rPr>
      <w:rFonts w:cs="Courier New"/>
    </w:rPr>
  </w:style>
  <w:style w:type="character" w:styleId="ListLabel113">
    <w:name w:val="ListLabel 113"/>
    <w:qFormat/>
    <w:rPr>
      <w:rFonts w:cs="Wingdings"/>
    </w:rPr>
  </w:style>
  <w:style w:type="character" w:styleId="ListLabel114">
    <w:name w:val="ListLabel 114"/>
    <w:qFormat/>
    <w:rPr>
      <w:rFonts w:ascii="Times New Roman" w:hAnsi="Times New Roman" w:cs="Symbol"/>
      <w:sz w:val="28"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Wingdings"/>
    </w:rPr>
  </w:style>
  <w:style w:type="character" w:styleId="ListLabel117">
    <w:name w:val="ListLabel 117"/>
    <w:qFormat/>
    <w:rPr>
      <w:rFonts w:cs="Symbol"/>
    </w:rPr>
  </w:style>
  <w:style w:type="character" w:styleId="ListLabel118">
    <w:name w:val="ListLabel 118"/>
    <w:qFormat/>
    <w:rPr>
      <w:rFonts w:cs="Courier New"/>
    </w:rPr>
  </w:style>
  <w:style w:type="character" w:styleId="ListLabel119">
    <w:name w:val="ListLabel 119"/>
    <w:qFormat/>
    <w:rPr>
      <w:rFonts w:cs="Wingdings"/>
    </w:rPr>
  </w:style>
  <w:style w:type="character" w:styleId="ListLabel120">
    <w:name w:val="ListLabel 120"/>
    <w:qFormat/>
    <w:rPr>
      <w:rFonts w:cs="Symbol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Wingdings"/>
    </w:rPr>
  </w:style>
  <w:style w:type="character" w:styleId="ListLabel123">
    <w:name w:val="ListLabel 123"/>
    <w:qFormat/>
    <w:rPr>
      <w:rFonts w:ascii="Times New Roman" w:hAnsi="Times New Roman" w:cs="Symbol"/>
      <w:sz w:val="28"/>
    </w:rPr>
  </w:style>
  <w:style w:type="character" w:styleId="ListLabel124">
    <w:name w:val="ListLabel 124"/>
    <w:qFormat/>
    <w:rPr>
      <w:rFonts w:cs="Courier New"/>
    </w:rPr>
  </w:style>
  <w:style w:type="character" w:styleId="ListLabel125">
    <w:name w:val="ListLabel 125"/>
    <w:qFormat/>
    <w:rPr>
      <w:rFonts w:cs="Wingdings"/>
    </w:rPr>
  </w:style>
  <w:style w:type="character" w:styleId="ListLabel126">
    <w:name w:val="ListLabel 126"/>
    <w:qFormat/>
    <w:rPr>
      <w:rFonts w:cs="Symbol"/>
    </w:rPr>
  </w:style>
  <w:style w:type="character" w:styleId="ListLabel127">
    <w:name w:val="ListLabel 127"/>
    <w:qFormat/>
    <w:rPr>
      <w:rFonts w:cs="Courier New"/>
    </w:rPr>
  </w:style>
  <w:style w:type="character" w:styleId="ListLabel128">
    <w:name w:val="ListLabel 128"/>
    <w:qFormat/>
    <w:rPr>
      <w:rFonts w:cs="Wingdings"/>
    </w:rPr>
  </w:style>
  <w:style w:type="character" w:styleId="ListLabel129">
    <w:name w:val="ListLabel 129"/>
    <w:qFormat/>
    <w:rPr>
      <w:rFonts w:cs="Symbol"/>
    </w:rPr>
  </w:style>
  <w:style w:type="character" w:styleId="ListLabel130">
    <w:name w:val="ListLabel 130"/>
    <w:qFormat/>
    <w:rPr>
      <w:rFonts w:cs="Courier New"/>
    </w:rPr>
  </w:style>
  <w:style w:type="character" w:styleId="ListLabel131">
    <w:name w:val="ListLabel 131"/>
    <w:qFormat/>
    <w:rPr>
      <w:rFonts w:cs="Wingdings"/>
    </w:rPr>
  </w:style>
  <w:style w:type="character" w:styleId="ListLabel132">
    <w:name w:val="ListLabel 132"/>
    <w:qFormat/>
    <w:rPr>
      <w:rFonts w:ascii="Times New Roman" w:hAnsi="Times New Roman" w:cs="Symbol"/>
      <w:sz w:val="28"/>
    </w:rPr>
  </w:style>
  <w:style w:type="character" w:styleId="ListLabel133">
    <w:name w:val="ListLabel 133"/>
    <w:qFormat/>
    <w:rPr>
      <w:rFonts w:cs="Courier New"/>
    </w:rPr>
  </w:style>
  <w:style w:type="character" w:styleId="ListLabel134">
    <w:name w:val="ListLabel 134"/>
    <w:qFormat/>
    <w:rPr>
      <w:rFonts w:cs="Wingdings"/>
    </w:rPr>
  </w:style>
  <w:style w:type="character" w:styleId="ListLabel135">
    <w:name w:val="ListLabel 135"/>
    <w:qFormat/>
    <w:rPr>
      <w:rFonts w:cs="Symbol"/>
    </w:rPr>
  </w:style>
  <w:style w:type="character" w:styleId="ListLabel136">
    <w:name w:val="ListLabel 136"/>
    <w:qFormat/>
    <w:rPr>
      <w:rFonts w:cs="Courier New"/>
    </w:rPr>
  </w:style>
  <w:style w:type="character" w:styleId="ListLabel137">
    <w:name w:val="ListLabel 137"/>
    <w:qFormat/>
    <w:rPr>
      <w:rFonts w:cs="Wingdings"/>
    </w:rPr>
  </w:style>
  <w:style w:type="character" w:styleId="ListLabel138">
    <w:name w:val="ListLabel 138"/>
    <w:qFormat/>
    <w:rPr>
      <w:rFonts w:cs="Symbol"/>
    </w:rPr>
  </w:style>
  <w:style w:type="character" w:styleId="ListLabel139">
    <w:name w:val="ListLabel 139"/>
    <w:qFormat/>
    <w:rPr>
      <w:rFonts w:cs="Courier New"/>
    </w:rPr>
  </w:style>
  <w:style w:type="character" w:styleId="ListLabel140">
    <w:name w:val="ListLabel 140"/>
    <w:qFormat/>
    <w:rPr>
      <w:rFonts w:cs="Wingdings"/>
    </w:rPr>
  </w:style>
  <w:style w:type="character" w:styleId="ListLabel141">
    <w:name w:val="ListLabel 141"/>
    <w:qFormat/>
    <w:rPr>
      <w:rFonts w:ascii="Times New Roman" w:hAnsi="Times New Roman" w:cs="Symbol"/>
      <w:sz w:val="28"/>
    </w:rPr>
  </w:style>
  <w:style w:type="character" w:styleId="ListLabel142">
    <w:name w:val="ListLabel 142"/>
    <w:qFormat/>
    <w:rPr>
      <w:rFonts w:cs="Courier New"/>
    </w:rPr>
  </w:style>
  <w:style w:type="character" w:styleId="ListLabel143">
    <w:name w:val="ListLabel 143"/>
    <w:qFormat/>
    <w:rPr>
      <w:rFonts w:cs="Wingdings"/>
    </w:rPr>
  </w:style>
  <w:style w:type="character" w:styleId="ListLabel144">
    <w:name w:val="ListLabel 144"/>
    <w:qFormat/>
    <w:rPr>
      <w:rFonts w:cs="Symbol"/>
    </w:rPr>
  </w:style>
  <w:style w:type="character" w:styleId="ListLabel145">
    <w:name w:val="ListLabel 145"/>
    <w:qFormat/>
    <w:rPr>
      <w:rFonts w:cs="Courier New"/>
    </w:rPr>
  </w:style>
  <w:style w:type="character" w:styleId="ListLabel146">
    <w:name w:val="ListLabel 146"/>
    <w:qFormat/>
    <w:rPr>
      <w:rFonts w:cs="Wingdings"/>
    </w:rPr>
  </w:style>
  <w:style w:type="character" w:styleId="ListLabel147">
    <w:name w:val="ListLabel 147"/>
    <w:qFormat/>
    <w:rPr>
      <w:rFonts w:cs="Symbol"/>
    </w:rPr>
  </w:style>
  <w:style w:type="character" w:styleId="ListLabel148">
    <w:name w:val="ListLabel 148"/>
    <w:qFormat/>
    <w:rPr>
      <w:rFonts w:cs="Courier New"/>
    </w:rPr>
  </w:style>
  <w:style w:type="character" w:styleId="ListLabel149">
    <w:name w:val="ListLabel 149"/>
    <w:qFormat/>
    <w:rPr>
      <w:rFonts w:cs="Wingdings"/>
    </w:rPr>
  </w:style>
  <w:style w:type="character" w:styleId="ListLabel150">
    <w:name w:val="ListLabel 150"/>
    <w:qFormat/>
    <w:rPr>
      <w:rFonts w:ascii="Times New Roman" w:hAnsi="Times New Roman" w:cs="Symbol"/>
      <w:b w:val="false"/>
      <w:bCs w:val="false"/>
      <w:sz w:val="28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Wingdings"/>
    </w:rPr>
  </w:style>
  <w:style w:type="character" w:styleId="ListLabel153">
    <w:name w:val="ListLabel 153"/>
    <w:qFormat/>
    <w:rPr>
      <w:rFonts w:ascii="Times New Roman" w:hAnsi="Times New Roman"/>
      <w:b/>
      <w:i w:val="false"/>
      <w:sz w:val="24"/>
    </w:rPr>
  </w:style>
  <w:style w:type="character" w:styleId="ListLabel154">
    <w:name w:val="ListLabel 154"/>
    <w:qFormat/>
    <w:rPr>
      <w:rFonts w:ascii="Times New Roman" w:hAnsi="Times New Roman" w:cs="Symbol"/>
      <w:sz w:val="28"/>
    </w:rPr>
  </w:style>
  <w:style w:type="character" w:styleId="ListLabel155">
    <w:name w:val="ListLabel 155"/>
    <w:qFormat/>
    <w:rPr>
      <w:rFonts w:cs="Courier New"/>
    </w:rPr>
  </w:style>
  <w:style w:type="character" w:styleId="ListLabel156">
    <w:name w:val="ListLabel 156"/>
    <w:qFormat/>
    <w:rPr>
      <w:rFonts w:cs="Wingdings"/>
    </w:rPr>
  </w:style>
  <w:style w:type="character" w:styleId="ListLabel157">
    <w:name w:val="ListLabel 157"/>
    <w:qFormat/>
    <w:rPr>
      <w:rFonts w:cs="Symbol"/>
    </w:rPr>
  </w:style>
  <w:style w:type="character" w:styleId="ListLabel158">
    <w:name w:val="ListLabel 158"/>
    <w:qFormat/>
    <w:rPr>
      <w:rFonts w:cs="Courier New"/>
    </w:rPr>
  </w:style>
  <w:style w:type="character" w:styleId="ListLabel159">
    <w:name w:val="ListLabel 159"/>
    <w:qFormat/>
    <w:rPr>
      <w:rFonts w:cs="Wingdings"/>
    </w:rPr>
  </w:style>
  <w:style w:type="character" w:styleId="ListLabel160">
    <w:name w:val="ListLabel 160"/>
    <w:qFormat/>
    <w:rPr>
      <w:rFonts w:cs="Symbol"/>
    </w:rPr>
  </w:style>
  <w:style w:type="character" w:styleId="ListLabel161">
    <w:name w:val="ListLabel 161"/>
    <w:qFormat/>
    <w:rPr>
      <w:rFonts w:cs="Courier New"/>
    </w:rPr>
  </w:style>
  <w:style w:type="character" w:styleId="ListLabel162">
    <w:name w:val="ListLabel 162"/>
    <w:qFormat/>
    <w:rPr>
      <w:rFonts w:cs="Wingdings"/>
    </w:rPr>
  </w:style>
  <w:style w:type="character" w:styleId="ListLabel163">
    <w:name w:val="ListLabel 163"/>
    <w:qFormat/>
    <w:rPr>
      <w:rFonts w:ascii="Times New Roman" w:hAnsi="Times New Roman" w:cs="Symbol"/>
      <w:sz w:val="28"/>
    </w:rPr>
  </w:style>
  <w:style w:type="character" w:styleId="ListLabel164">
    <w:name w:val="ListLabel 164"/>
    <w:qFormat/>
    <w:rPr>
      <w:rFonts w:cs="Courier New"/>
    </w:rPr>
  </w:style>
  <w:style w:type="character" w:styleId="ListLabel165">
    <w:name w:val="ListLabel 165"/>
    <w:qFormat/>
    <w:rPr>
      <w:rFonts w:cs="Wingdings"/>
    </w:rPr>
  </w:style>
  <w:style w:type="character" w:styleId="ListLabel166">
    <w:name w:val="ListLabel 166"/>
    <w:qFormat/>
    <w:rPr>
      <w:rFonts w:cs="Symbol"/>
    </w:rPr>
  </w:style>
  <w:style w:type="character" w:styleId="ListLabel167">
    <w:name w:val="ListLabel 167"/>
    <w:qFormat/>
    <w:rPr>
      <w:rFonts w:cs="Courier New"/>
    </w:rPr>
  </w:style>
  <w:style w:type="character" w:styleId="ListLabel168">
    <w:name w:val="ListLabel 168"/>
    <w:qFormat/>
    <w:rPr>
      <w:rFonts w:cs="Wingdings"/>
    </w:rPr>
  </w:style>
  <w:style w:type="character" w:styleId="ListLabel169">
    <w:name w:val="ListLabel 169"/>
    <w:qFormat/>
    <w:rPr>
      <w:rFonts w:cs="Symbol"/>
    </w:rPr>
  </w:style>
  <w:style w:type="character" w:styleId="ListLabel170">
    <w:name w:val="ListLabel 170"/>
    <w:qFormat/>
    <w:rPr>
      <w:rFonts w:cs="Courier New"/>
    </w:rPr>
  </w:style>
  <w:style w:type="character" w:styleId="ListLabel171">
    <w:name w:val="ListLabel 171"/>
    <w:qFormat/>
    <w:rPr>
      <w:rFonts w:cs="Wingdings"/>
    </w:rPr>
  </w:style>
  <w:style w:type="character" w:styleId="ListLabel172">
    <w:name w:val="ListLabel 172"/>
    <w:qFormat/>
    <w:rPr>
      <w:rFonts w:ascii="Times New Roman" w:hAnsi="Times New Roman" w:cs="Symbol"/>
      <w:sz w:val="28"/>
    </w:rPr>
  </w:style>
  <w:style w:type="character" w:styleId="ListLabel173">
    <w:name w:val="ListLabel 173"/>
    <w:qFormat/>
    <w:rPr>
      <w:rFonts w:cs="Courier New"/>
    </w:rPr>
  </w:style>
  <w:style w:type="character" w:styleId="ListLabel174">
    <w:name w:val="ListLabel 174"/>
    <w:qFormat/>
    <w:rPr>
      <w:rFonts w:cs="Wingdings"/>
    </w:rPr>
  </w:style>
  <w:style w:type="character" w:styleId="ListLabel175">
    <w:name w:val="ListLabel 175"/>
    <w:qFormat/>
    <w:rPr>
      <w:rFonts w:cs="Symbol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Wingdings"/>
    </w:rPr>
  </w:style>
  <w:style w:type="character" w:styleId="ListLabel178">
    <w:name w:val="ListLabel 178"/>
    <w:qFormat/>
    <w:rPr>
      <w:rFonts w:cs="Symbol"/>
    </w:rPr>
  </w:style>
  <w:style w:type="character" w:styleId="ListLabel179">
    <w:name w:val="ListLabel 179"/>
    <w:qFormat/>
    <w:rPr>
      <w:rFonts w:cs="Courier New"/>
    </w:rPr>
  </w:style>
  <w:style w:type="character" w:styleId="ListLabel180">
    <w:name w:val="ListLabel 180"/>
    <w:qFormat/>
    <w:rPr>
      <w:rFonts w:cs="Wingdings"/>
    </w:rPr>
  </w:style>
  <w:style w:type="character" w:styleId="ListLabel181">
    <w:name w:val="ListLabel 181"/>
    <w:qFormat/>
    <w:rPr>
      <w:rFonts w:ascii="Times New Roman" w:hAnsi="Times New Roman" w:cs="Symbol"/>
      <w:sz w:val="28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cs="Wingdings"/>
    </w:rPr>
  </w:style>
  <w:style w:type="character" w:styleId="ListLabel184">
    <w:name w:val="ListLabel 184"/>
    <w:qFormat/>
    <w:rPr>
      <w:rFonts w:cs="Symbol"/>
    </w:rPr>
  </w:style>
  <w:style w:type="character" w:styleId="ListLabel185">
    <w:name w:val="ListLabel 185"/>
    <w:qFormat/>
    <w:rPr>
      <w:rFonts w:cs="Courier New"/>
    </w:rPr>
  </w:style>
  <w:style w:type="character" w:styleId="ListLabel186">
    <w:name w:val="ListLabel 186"/>
    <w:qFormat/>
    <w:rPr>
      <w:rFonts w:cs="Wingdings"/>
    </w:rPr>
  </w:style>
  <w:style w:type="character" w:styleId="ListLabel187">
    <w:name w:val="ListLabel 187"/>
    <w:qFormat/>
    <w:rPr>
      <w:rFonts w:cs="Symbol"/>
    </w:rPr>
  </w:style>
  <w:style w:type="character" w:styleId="ListLabel188">
    <w:name w:val="ListLabel 188"/>
    <w:qFormat/>
    <w:rPr>
      <w:rFonts w:cs="Courier New"/>
    </w:rPr>
  </w:style>
  <w:style w:type="character" w:styleId="ListLabel189">
    <w:name w:val="ListLabel 189"/>
    <w:qFormat/>
    <w:rPr>
      <w:rFonts w:cs="Wingdings"/>
    </w:rPr>
  </w:style>
  <w:style w:type="character" w:styleId="ListLabel190">
    <w:name w:val="ListLabel 190"/>
    <w:qFormat/>
    <w:rPr>
      <w:rFonts w:ascii="Times New Roman" w:hAnsi="Times New Roman" w:cs="Symbol"/>
    </w:rPr>
  </w:style>
  <w:style w:type="character" w:styleId="ListLabel191">
    <w:name w:val="ListLabel 191"/>
    <w:qFormat/>
    <w:rPr>
      <w:rFonts w:cs="Courier New"/>
    </w:rPr>
  </w:style>
  <w:style w:type="character" w:styleId="ListLabel192">
    <w:name w:val="ListLabel 192"/>
    <w:qFormat/>
    <w:rPr>
      <w:rFonts w:cs="Wingdings"/>
    </w:rPr>
  </w:style>
  <w:style w:type="character" w:styleId="ListLabel193">
    <w:name w:val="ListLabel 193"/>
    <w:qFormat/>
    <w:rPr>
      <w:rFonts w:cs="Symbol"/>
    </w:rPr>
  </w:style>
  <w:style w:type="character" w:styleId="ListLabel194">
    <w:name w:val="ListLabel 194"/>
    <w:qFormat/>
    <w:rPr>
      <w:rFonts w:cs="Courier New"/>
    </w:rPr>
  </w:style>
  <w:style w:type="character" w:styleId="ListLabel195">
    <w:name w:val="ListLabel 195"/>
    <w:qFormat/>
    <w:rPr>
      <w:rFonts w:cs="Wingdings"/>
    </w:rPr>
  </w:style>
  <w:style w:type="character" w:styleId="ListLabel196">
    <w:name w:val="ListLabel 196"/>
    <w:qFormat/>
    <w:rPr>
      <w:rFonts w:cs="Symbol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Wingdings"/>
    </w:rPr>
  </w:style>
  <w:style w:type="character" w:styleId="ListLabel199">
    <w:name w:val="ListLabel 199"/>
    <w:qFormat/>
    <w:rPr>
      <w:rFonts w:ascii="Times New Roman" w:hAnsi="Times New Roman" w:cs="Symbol"/>
      <w:sz w:val="28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Wingdings"/>
    </w:rPr>
  </w:style>
  <w:style w:type="character" w:styleId="ListLabel202">
    <w:name w:val="ListLabel 202"/>
    <w:qFormat/>
    <w:rPr>
      <w:rFonts w:cs="Symbol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Wingdings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ascii="Times New Roman" w:hAnsi="Times New Roman" w:cs="Symbol"/>
      <w:b/>
      <w:sz w:val="28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cs="Wingdings"/>
    </w:rPr>
  </w:style>
  <w:style w:type="character" w:styleId="ListLabel211">
    <w:name w:val="ListLabel 211"/>
    <w:qFormat/>
    <w:rPr>
      <w:rFonts w:cs="Symbol"/>
    </w:rPr>
  </w:style>
  <w:style w:type="character" w:styleId="ListLabel212">
    <w:name w:val="ListLabel 212"/>
    <w:qFormat/>
    <w:rPr>
      <w:rFonts w:cs="Courier New"/>
    </w:rPr>
  </w:style>
  <w:style w:type="character" w:styleId="ListLabel213">
    <w:name w:val="ListLabel 213"/>
    <w:qFormat/>
    <w:rPr>
      <w:rFonts w:cs="Wingdings"/>
    </w:rPr>
  </w:style>
  <w:style w:type="character" w:styleId="ListLabel214">
    <w:name w:val="ListLabel 214"/>
    <w:qFormat/>
    <w:rPr>
      <w:rFonts w:cs="Symbol"/>
    </w:rPr>
  </w:style>
  <w:style w:type="character" w:styleId="ListLabel215">
    <w:name w:val="ListLabel 215"/>
    <w:qFormat/>
    <w:rPr>
      <w:rFonts w:cs="Courier New"/>
    </w:rPr>
  </w:style>
  <w:style w:type="character" w:styleId="ListLabel216">
    <w:name w:val="ListLabel 216"/>
    <w:qFormat/>
    <w:rPr>
      <w:rFonts w:cs="Wingdings"/>
    </w:rPr>
  </w:style>
  <w:style w:type="character" w:styleId="ListLabel217">
    <w:name w:val="ListLabel 217"/>
    <w:qFormat/>
    <w:rPr>
      <w:rFonts w:ascii="Times New Roman" w:hAnsi="Times New Roman" w:cs="Symbol"/>
      <w:sz w:val="28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Wingdings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Courier New"/>
    </w:rPr>
  </w:style>
  <w:style w:type="character" w:styleId="ListLabel222">
    <w:name w:val="ListLabel 222"/>
    <w:qFormat/>
    <w:rPr>
      <w:rFonts w:cs="Wingdings"/>
    </w:rPr>
  </w:style>
  <w:style w:type="character" w:styleId="ListLabel223">
    <w:name w:val="ListLabel 223"/>
    <w:qFormat/>
    <w:rPr>
      <w:rFonts w:cs="Symbol"/>
    </w:rPr>
  </w:style>
  <w:style w:type="character" w:styleId="ListLabel224">
    <w:name w:val="ListLabel 224"/>
    <w:qFormat/>
    <w:rPr>
      <w:rFonts w:cs="Courier New"/>
    </w:rPr>
  </w:style>
  <w:style w:type="character" w:styleId="ListLabel225">
    <w:name w:val="ListLabel 225"/>
    <w:qFormat/>
    <w:rPr>
      <w:rFonts w:cs="Wingdings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Style22">
    <w:name w:val="Body Text"/>
    <w:basedOn w:val="Normal"/>
    <w:pPr>
      <w:spacing w:lineRule="auto" w:line="288" w:before="0" w:after="140"/>
    </w:pPr>
    <w:rPr/>
  </w:style>
  <w:style w:type="paragraph" w:styleId="Style23">
    <w:name w:val="List"/>
    <w:basedOn w:val="Style22"/>
    <w:pPr/>
    <w:rPr>
      <w:rFonts w:ascii="Times New Roman" w:hAnsi="Times New Roman"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ListParagraph">
    <w:name w:val="List Paragraph"/>
    <w:basedOn w:val="Normal"/>
    <w:uiPriority w:val="34"/>
    <w:qFormat/>
    <w:rsid w:val="00b87f9e"/>
    <w:pPr>
      <w:spacing w:before="0" w:after="160"/>
      <w:ind w:left="720" w:hanging="0"/>
      <w:contextualSpacing/>
    </w:pPr>
    <w:rPr/>
  </w:style>
  <w:style w:type="paragraph" w:styleId="ConsPlusNormal" w:customStyle="1">
    <w:name w:val="ConsPlusNormal"/>
    <w:qFormat/>
    <w:rsid w:val="00b24ae4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2"/>
      <w:sz w:val="24"/>
      <w:szCs w:val="24"/>
      <w:lang w:val="ru-RU" w:eastAsia="zh-CN" w:bidi="hi-IN"/>
    </w:rPr>
  </w:style>
  <w:style w:type="paragraph" w:styleId="12" w:customStyle="1">
    <w:name w:val="Абзац списка1"/>
    <w:basedOn w:val="Normal"/>
    <w:qFormat/>
    <w:rsid w:val="00247ae1"/>
    <w:pPr>
      <w:suppressAutoHyphens w:val="true"/>
      <w:spacing w:lineRule="auto" w:line="276" w:before="0" w:after="200"/>
      <w:ind w:left="720" w:hanging="0"/>
    </w:pPr>
    <w:rPr>
      <w:rFonts w:ascii="Calibri" w:hAnsi="Calibri" w:eastAsia="Times New Roman" w:cs="Calibri"/>
      <w:lang w:eastAsia="zh-CN"/>
    </w:rPr>
  </w:style>
  <w:style w:type="paragraph" w:styleId="13" w:customStyle="1">
    <w:name w:val="Текст1"/>
    <w:basedOn w:val="Normal"/>
    <w:qFormat/>
    <w:rsid w:val="00b24ae4"/>
    <w:pPr>
      <w:suppressAutoHyphens w:val="true"/>
      <w:spacing w:lineRule="auto" w:line="240" w:before="0" w:after="0"/>
    </w:pPr>
    <w:rPr>
      <w:rFonts w:ascii="Consolas" w:hAnsi="Consolas" w:eastAsia="Times New Roman" w:cs="Consolas"/>
      <w:sz w:val="21"/>
      <w:szCs w:val="21"/>
      <w:lang w:eastAsia="zh-CN"/>
    </w:rPr>
  </w:style>
  <w:style w:type="paragraph" w:styleId="S6" w:customStyle="1">
    <w:name w:val="s6"/>
    <w:basedOn w:val="Normal"/>
    <w:qFormat/>
    <w:rsid w:val="00247ae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Spacing">
    <w:name w:val="No Spacing"/>
    <w:uiPriority w:val="1"/>
    <w:qFormat/>
    <w:rsid w:val="00247ae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link w:val="11"/>
    <w:uiPriority w:val="99"/>
    <w:qFormat/>
    <w:rsid w:val="00247ae1"/>
    <w:pPr>
      <w:spacing w:lineRule="auto" w:line="240" w:beforeAutospacing="1" w:afterAutospacing="1"/>
      <w:ind w:firstLine="709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a9"/>
    <w:qFormat/>
    <w:rsid w:val="00247ae1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HTMLPreformatted">
    <w:name w:val="HTML Preformatted"/>
    <w:basedOn w:val="Normal"/>
    <w:link w:val="HTML0"/>
    <w:qFormat/>
    <w:rsid w:val="00247ae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14" w:customStyle="1">
    <w:name w:val="Текст сноски1"/>
    <w:basedOn w:val="Normal"/>
    <w:uiPriority w:val="99"/>
    <w:qFormat/>
    <w:rsid w:val="00247ae1"/>
    <w:pPr>
      <w:suppressAutoHyphens w:val="true"/>
      <w:spacing w:lineRule="auto" w:line="240" w:before="0" w:after="60"/>
      <w:jc w:val="both"/>
    </w:pPr>
    <w:rPr>
      <w:rFonts w:ascii="Times New Roman" w:hAnsi="Times New Roman" w:eastAsia="Arial Unicode MS" w:cs="Times New Roman"/>
      <w:kern w:val="2"/>
      <w:sz w:val="24"/>
      <w:szCs w:val="20"/>
      <w:lang w:eastAsia="ar-SA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247ae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af0"/>
    <w:uiPriority w:val="99"/>
    <w:semiHidden/>
    <w:unhideWhenUsed/>
    <w:qFormat/>
    <w:rsid w:val="00247ae1"/>
    <w:pPr>
      <w:spacing w:lineRule="auto" w:line="240" w:before="0" w:after="0"/>
    </w:pPr>
    <w:rPr>
      <w:rFonts w:ascii="Times New Roman" w:hAnsi="Times New Roman"/>
      <w:sz w:val="20"/>
      <w:szCs w:val="20"/>
    </w:rPr>
  </w:style>
  <w:style w:type="paragraph" w:styleId="Annotationsubject">
    <w:name w:val="annotation subject"/>
    <w:basedOn w:val="Annotationtext"/>
    <w:link w:val="af2"/>
    <w:uiPriority w:val="99"/>
    <w:semiHidden/>
    <w:unhideWhenUsed/>
    <w:qFormat/>
    <w:rsid w:val="00247ae1"/>
    <w:pPr/>
    <w:rPr>
      <w:b/>
      <w:bCs/>
    </w:rPr>
  </w:style>
  <w:style w:type="paragraph" w:styleId="PlainText">
    <w:name w:val="Plain Text"/>
    <w:basedOn w:val="Normal"/>
    <w:link w:val="af4"/>
    <w:qFormat/>
    <w:rsid w:val="00247ae1"/>
    <w:pPr>
      <w:spacing w:lineRule="auto" w:line="240" w:before="0" w:after="0"/>
    </w:pPr>
    <w:rPr>
      <w:rFonts w:ascii="Consolas" w:hAnsi="Consolas" w:eastAsia="Times New Roman" w:cs="Times New Roman"/>
      <w:sz w:val="21"/>
      <w:szCs w:val="21"/>
    </w:rPr>
  </w:style>
  <w:style w:type="paragraph" w:styleId="Style26">
    <w:name w:val="Header"/>
    <w:basedOn w:val="Normal"/>
    <w:link w:val="af6"/>
    <w:uiPriority w:val="99"/>
    <w:unhideWhenUsed/>
    <w:rsid w:val="00247ae1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Calibri"/>
    </w:rPr>
  </w:style>
  <w:style w:type="paragraph" w:styleId="Style27">
    <w:name w:val="Footer"/>
    <w:basedOn w:val="Normal"/>
    <w:link w:val="af8"/>
    <w:uiPriority w:val="99"/>
    <w:unhideWhenUsed/>
    <w:rsid w:val="00247ae1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Calibri"/>
    </w:rPr>
  </w:style>
  <w:style w:type="paragraph" w:styleId="Default" w:customStyle="1">
    <w:name w:val="Default"/>
    <w:qFormat/>
    <w:rsid w:val="00247ae1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16" w:customStyle="1">
    <w:name w:val="s_16"/>
    <w:basedOn w:val="Normal"/>
    <w:qFormat/>
    <w:rsid w:val="00247ae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247ae1"/>
  </w:style>
  <w:style w:type="numbering" w:styleId="22" w:customStyle="1">
    <w:name w:val="Нет списка2"/>
    <w:uiPriority w:val="99"/>
    <w:semiHidden/>
    <w:unhideWhenUsed/>
    <w:qFormat/>
    <w:rsid w:val="00247ae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247ae1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247ae1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uiPriority w:val="59"/>
    <w:rsid w:val="00247ae1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chart" Target="charts/chart2.xml"/><Relationship Id="rId4" Type="http://schemas.openxmlformats.org/officeDocument/2006/relationships/chart" Target="charts/chart3.xml"/><Relationship Id="rId5" Type="http://schemas.openxmlformats.org/officeDocument/2006/relationships/chart" Target="charts/chart4.xml"/><Relationship Id="rId6" Type="http://schemas.openxmlformats.org/officeDocument/2006/relationships/chart" Target="charts/chart5.xml"/><Relationship Id="rId7" Type="http://schemas.openxmlformats.org/officeDocument/2006/relationships/chart" Target="charts/chart6.xml"/><Relationship Id="rId8" Type="http://schemas.openxmlformats.org/officeDocument/2006/relationships/chart" Target="charts/chart7.xml"/><Relationship Id="rId9" Type="http://schemas.openxmlformats.org/officeDocument/2006/relationships/chart" Target="charts/chart8.xml"/><Relationship Id="rId10" Type="http://schemas.openxmlformats.org/officeDocument/2006/relationships/chart" Target="charts/chart9.xml"/><Relationship Id="rId11" Type="http://schemas.openxmlformats.org/officeDocument/2006/relationships/chart" Target="charts/chart10.xml"/><Relationship Id="rId12" Type="http://schemas.openxmlformats.org/officeDocument/2006/relationships/chart" Target="charts/chart11.xml"/><Relationship Id="rId13" Type="http://schemas.openxmlformats.org/officeDocument/2006/relationships/chart" Target="charts/chart12.xml"/><Relationship Id="rId14" Type="http://schemas.openxmlformats.org/officeDocument/2006/relationships/chart" Target="charts/chart13.xml"/><Relationship Id="rId15" Type="http://schemas.openxmlformats.org/officeDocument/2006/relationships/chart" Target="charts/chart14.xml"/><Relationship Id="rId16" Type="http://schemas.openxmlformats.org/officeDocument/2006/relationships/chart" Target="charts/chart15.xml"/><Relationship Id="rId17" Type="http://schemas.openxmlformats.org/officeDocument/2006/relationships/chart" Target="charts/chart16.xml"/><Relationship Id="rId18" Type="http://schemas.openxmlformats.org/officeDocument/2006/relationships/chart" Target="charts/chart17.xml"/><Relationship Id="rId19" Type="http://schemas.openxmlformats.org/officeDocument/2006/relationships/chart" Target="charts/chart18.xml"/><Relationship Id="rId20" Type="http://schemas.openxmlformats.org/officeDocument/2006/relationships/chart" Target="charts/chart19.xml"/><Relationship Id="rId21" Type="http://schemas.openxmlformats.org/officeDocument/2006/relationships/chart" Target="charts/chart20.xml"/><Relationship Id="rId22" Type="http://schemas.openxmlformats.org/officeDocument/2006/relationships/chart" Target="charts/chart21.xml"/><Relationship Id="rId23" Type="http://schemas.openxmlformats.org/officeDocument/2006/relationships/chart" Target="charts/chart22.xml"/><Relationship Id="rId24" Type="http://schemas.openxmlformats.org/officeDocument/2006/relationships/chart" Target="charts/chart23.xml"/><Relationship Id="rId25" Type="http://schemas.openxmlformats.org/officeDocument/2006/relationships/chart" Target="charts/chart24.xml"/><Relationship Id="rId26" Type="http://schemas.openxmlformats.org/officeDocument/2006/relationships/chart" Target="charts/chart25.xml"/><Relationship Id="rId27" Type="http://schemas.openxmlformats.org/officeDocument/2006/relationships/chart" Target="charts/chart26.xml"/><Relationship Id="rId28" Type="http://schemas.openxmlformats.org/officeDocument/2006/relationships/chart" Target="charts/chart27.xml"/><Relationship Id="rId29" Type="http://schemas.openxmlformats.org/officeDocument/2006/relationships/chart" Target="charts/chart28.xml"/><Relationship Id="rId30" Type="http://schemas.openxmlformats.org/officeDocument/2006/relationships/chart" Target="charts/chart29.xml"/><Relationship Id="rId31" Type="http://schemas.openxmlformats.org/officeDocument/2006/relationships/chart" Target="charts/chart30.xml"/><Relationship Id="rId32" Type="http://schemas.openxmlformats.org/officeDocument/2006/relationships/chart" Target="charts/chart31.xml"/><Relationship Id="rId33" Type="http://schemas.openxmlformats.org/officeDocument/2006/relationships/chart" Target="charts/chart32.xml"/><Relationship Id="rId34" Type="http://schemas.openxmlformats.org/officeDocument/2006/relationships/chart" Target="charts/chart33.xml"/><Relationship Id="rId35" Type="http://schemas.openxmlformats.org/officeDocument/2006/relationships/chart" Target="charts/chart34.xml"/><Relationship Id="rId36" Type="http://schemas.openxmlformats.org/officeDocument/2006/relationships/chart" Target="charts/chart35.xml"/><Relationship Id="rId37" Type="http://schemas.openxmlformats.org/officeDocument/2006/relationships/chart" Target="charts/chart36.xml"/><Relationship Id="rId38" Type="http://schemas.openxmlformats.org/officeDocument/2006/relationships/chart" Target="charts/chart37.xml"/><Relationship Id="rId39" Type="http://schemas.openxmlformats.org/officeDocument/2006/relationships/chart" Target="charts/chart38.xml"/><Relationship Id="rId40" Type="http://schemas.openxmlformats.org/officeDocument/2006/relationships/chart" Target="charts/chart39.xml"/><Relationship Id="rId41" Type="http://schemas.openxmlformats.org/officeDocument/2006/relationships/chart" Target="charts/chart40.xml"/><Relationship Id="rId42" Type="http://schemas.openxmlformats.org/officeDocument/2006/relationships/chart" Target="charts/chart41.xml"/><Relationship Id="rId43" Type="http://schemas.openxmlformats.org/officeDocument/2006/relationships/chart" Target="charts/chart42.xml"/><Relationship Id="rId44" Type="http://schemas.openxmlformats.org/officeDocument/2006/relationships/chart" Target="charts/chart43.xml"/><Relationship Id="rId45" Type="http://schemas.openxmlformats.org/officeDocument/2006/relationships/chart" Target="charts/chart44.xml"/><Relationship Id="rId46" Type="http://schemas.openxmlformats.org/officeDocument/2006/relationships/chart" Target="charts/chart45.xml"/><Relationship Id="rId47" Type="http://schemas.openxmlformats.org/officeDocument/2006/relationships/chart" Target="charts/chart46.xml"/><Relationship Id="rId48" Type="http://schemas.openxmlformats.org/officeDocument/2006/relationships/chart" Target="charts/chart47.xml"/><Relationship Id="rId49" Type="http://schemas.openxmlformats.org/officeDocument/2006/relationships/chart" Target="charts/chart48.xml"/><Relationship Id="rId50" Type="http://schemas.openxmlformats.org/officeDocument/2006/relationships/chart" Target="charts/chart49.xml"/><Relationship Id="rId51" Type="http://schemas.openxmlformats.org/officeDocument/2006/relationships/chart" Target="charts/chart50.xml"/><Relationship Id="rId52" Type="http://schemas.openxmlformats.org/officeDocument/2006/relationships/chart" Target="charts/chart51.xml"/><Relationship Id="rId53" Type="http://schemas.openxmlformats.org/officeDocument/2006/relationships/chart" Target="charts/chart52.xml"/><Relationship Id="rId54" Type="http://schemas.openxmlformats.org/officeDocument/2006/relationships/chart" Target="charts/chart53.xml"/><Relationship Id="rId55" Type="http://schemas.openxmlformats.org/officeDocument/2006/relationships/chart" Target="charts/chart54.xml"/><Relationship Id="rId56" Type="http://schemas.openxmlformats.org/officeDocument/2006/relationships/chart" Target="charts/chart55.xml"/><Relationship Id="rId57" Type="http://schemas.openxmlformats.org/officeDocument/2006/relationships/chart" Target="charts/chart56.xml"/><Relationship Id="rId58" Type="http://schemas.openxmlformats.org/officeDocument/2006/relationships/chart" Target="charts/chart57.xml"/><Relationship Id="rId59" Type="http://schemas.openxmlformats.org/officeDocument/2006/relationships/chart" Target="charts/chart58.xml"/><Relationship Id="rId60" Type="http://schemas.openxmlformats.org/officeDocument/2006/relationships/chart" Target="charts/chart59.xml"/><Relationship Id="rId61" Type="http://schemas.openxmlformats.org/officeDocument/2006/relationships/chart" Target="charts/chart60.xml"/><Relationship Id="rId62" Type="http://schemas.openxmlformats.org/officeDocument/2006/relationships/chart" Target="charts/chart61.xml"/><Relationship Id="rId63" Type="http://schemas.openxmlformats.org/officeDocument/2006/relationships/chart" Target="charts/chart62.xml"/><Relationship Id="rId64" Type="http://schemas.openxmlformats.org/officeDocument/2006/relationships/chart" Target="charts/chart63.xml"/><Relationship Id="rId65" Type="http://schemas.openxmlformats.org/officeDocument/2006/relationships/chart" Target="charts/chart64.xml"/><Relationship Id="rId66" Type="http://schemas.openxmlformats.org/officeDocument/2006/relationships/chart" Target="charts/chart65.xml"/><Relationship Id="rId67" Type="http://schemas.openxmlformats.org/officeDocument/2006/relationships/chart" Target="charts/chart66.xml"/><Relationship Id="rId68" Type="http://schemas.openxmlformats.org/officeDocument/2006/relationships/chart" Target="charts/chart67.xml"/><Relationship Id="rId69" Type="http://schemas.openxmlformats.org/officeDocument/2006/relationships/chart" Target="charts/chart68.xml"/><Relationship Id="rId70" Type="http://schemas.openxmlformats.org/officeDocument/2006/relationships/chart" Target="charts/chart69.xml"/><Relationship Id="rId71" Type="http://schemas.openxmlformats.org/officeDocument/2006/relationships/chart" Target="charts/chart70.xml"/><Relationship Id="rId72" Type="http://schemas.openxmlformats.org/officeDocument/2006/relationships/chart" Target="charts/chart71.xml"/><Relationship Id="rId73" Type="http://schemas.openxmlformats.org/officeDocument/2006/relationships/chart" Target="charts/chart72.xml"/><Relationship Id="rId74" Type="http://schemas.openxmlformats.org/officeDocument/2006/relationships/chart" Target="charts/chart73.xml"/><Relationship Id="rId75" Type="http://schemas.openxmlformats.org/officeDocument/2006/relationships/chart" Target="charts/chart74.xml"/><Relationship Id="rId76" Type="http://schemas.openxmlformats.org/officeDocument/2006/relationships/chart" Target="charts/chart75.xml"/><Relationship Id="rId77" Type="http://schemas.openxmlformats.org/officeDocument/2006/relationships/chart" Target="charts/chart76.xml"/><Relationship Id="rId78" Type="http://schemas.openxmlformats.org/officeDocument/2006/relationships/chart" Target="charts/chart77.xml"/><Relationship Id="rId79" Type="http://schemas.openxmlformats.org/officeDocument/2006/relationships/chart" Target="charts/chart78.xml"/><Relationship Id="rId80" Type="http://schemas.openxmlformats.org/officeDocument/2006/relationships/chart" Target="charts/chart79.xml"/><Relationship Id="rId81" Type="http://schemas.openxmlformats.org/officeDocument/2006/relationships/chart" Target="charts/chart80.xml"/><Relationship Id="rId82" Type="http://schemas.openxmlformats.org/officeDocument/2006/relationships/chart" Target="charts/chart81.xml"/><Relationship Id="rId83" Type="http://schemas.openxmlformats.org/officeDocument/2006/relationships/chart" Target="charts/chart82.xml"/><Relationship Id="rId84" Type="http://schemas.openxmlformats.org/officeDocument/2006/relationships/chart" Target="charts/chart83.xml"/><Relationship Id="rId85" Type="http://schemas.openxmlformats.org/officeDocument/2006/relationships/chart" Target="charts/chart84.xml"/><Relationship Id="rId86" Type="http://schemas.openxmlformats.org/officeDocument/2006/relationships/chart" Target="charts/chart85.xml"/><Relationship Id="rId87" Type="http://schemas.openxmlformats.org/officeDocument/2006/relationships/chart" Target="charts/chart86.xml"/><Relationship Id="rId88" Type="http://schemas.openxmlformats.org/officeDocument/2006/relationships/chart" Target="charts/chart87.xml"/><Relationship Id="rId89" Type="http://schemas.openxmlformats.org/officeDocument/2006/relationships/chart" Target="charts/chart88.xml"/><Relationship Id="rId90" Type="http://schemas.openxmlformats.org/officeDocument/2006/relationships/chart" Target="charts/chart89.xml"/><Relationship Id="rId91" Type="http://schemas.openxmlformats.org/officeDocument/2006/relationships/chart" Target="charts/chart90.xml"/><Relationship Id="rId92" Type="http://schemas.openxmlformats.org/officeDocument/2006/relationships/chart" Target="charts/chart91.xml"/><Relationship Id="rId93" Type="http://schemas.openxmlformats.org/officeDocument/2006/relationships/chart" Target="charts/chart92.xml"/><Relationship Id="rId94" Type="http://schemas.openxmlformats.org/officeDocument/2006/relationships/chart" Target="charts/chart93.xml"/><Relationship Id="rId95" Type="http://schemas.openxmlformats.org/officeDocument/2006/relationships/chart" Target="charts/chart94.xml"/><Relationship Id="rId96" Type="http://schemas.openxmlformats.org/officeDocument/2006/relationships/chart" Target="charts/chart95.xml"/><Relationship Id="rId97" Type="http://schemas.openxmlformats.org/officeDocument/2006/relationships/chart" Target="charts/chart96.xml"/><Relationship Id="rId98" Type="http://schemas.openxmlformats.org/officeDocument/2006/relationships/chart" Target="charts/chart97.xml"/><Relationship Id="rId99" Type="http://schemas.openxmlformats.org/officeDocument/2006/relationships/chart" Target="charts/chart98.xml"/><Relationship Id="rId100" Type="http://schemas.openxmlformats.org/officeDocument/2006/relationships/chart" Target="charts/chart99.xml"/><Relationship Id="rId101" Type="http://schemas.openxmlformats.org/officeDocument/2006/relationships/chart" Target="charts/chart100.xml"/><Relationship Id="rId102" Type="http://schemas.openxmlformats.org/officeDocument/2006/relationships/chart" Target="charts/chart101.xml"/><Relationship Id="rId103" Type="http://schemas.openxmlformats.org/officeDocument/2006/relationships/chart" Target="charts/chart102.xml"/><Relationship Id="rId104" Type="http://schemas.openxmlformats.org/officeDocument/2006/relationships/chart" Target="charts/chart103.xml"/><Relationship Id="rId105" Type="http://schemas.openxmlformats.org/officeDocument/2006/relationships/chart" Target="charts/chart104.xml"/><Relationship Id="rId106" Type="http://schemas.openxmlformats.org/officeDocument/2006/relationships/chart" Target="charts/chart105.xml"/><Relationship Id="rId107" Type="http://schemas.openxmlformats.org/officeDocument/2006/relationships/chart" Target="charts/chart106.xml"/><Relationship Id="rId108" Type="http://schemas.openxmlformats.org/officeDocument/2006/relationships/chart" Target="charts/chart107.xml"/><Relationship Id="rId109" Type="http://schemas.openxmlformats.org/officeDocument/2006/relationships/chart" Target="charts/chart108.xml"/><Relationship Id="rId110" Type="http://schemas.openxmlformats.org/officeDocument/2006/relationships/chart" Target="charts/chart109.xml"/><Relationship Id="rId111" Type="http://schemas.openxmlformats.org/officeDocument/2006/relationships/chart" Target="charts/chart110.xml"/><Relationship Id="rId112" Type="http://schemas.openxmlformats.org/officeDocument/2006/relationships/chart" Target="charts/chart111.xml"/><Relationship Id="rId113" Type="http://schemas.openxmlformats.org/officeDocument/2006/relationships/chart" Target="charts/chart112.xml"/><Relationship Id="rId114" Type="http://schemas.openxmlformats.org/officeDocument/2006/relationships/chart" Target="charts/chart113.xml"/><Relationship Id="rId115" Type="http://schemas.openxmlformats.org/officeDocument/2006/relationships/chart" Target="charts/chart114.xml"/><Relationship Id="rId116" Type="http://schemas.openxmlformats.org/officeDocument/2006/relationships/chart" Target="charts/chart115.xml"/><Relationship Id="rId117" Type="http://schemas.openxmlformats.org/officeDocument/2006/relationships/chart" Target="charts/chart116.xml"/><Relationship Id="rId118" Type="http://schemas.openxmlformats.org/officeDocument/2006/relationships/chart" Target="charts/chart117.xml"/><Relationship Id="rId119" Type="http://schemas.openxmlformats.org/officeDocument/2006/relationships/chart" Target="charts/chart118.xml"/><Relationship Id="rId120" Type="http://schemas.openxmlformats.org/officeDocument/2006/relationships/chart" Target="charts/chart119.xml"/><Relationship Id="rId121" Type="http://schemas.openxmlformats.org/officeDocument/2006/relationships/chart" Target="charts/chart120.xml"/><Relationship Id="rId122" Type="http://schemas.openxmlformats.org/officeDocument/2006/relationships/chart" Target="charts/chart121.xml"/><Relationship Id="rId123" Type="http://schemas.openxmlformats.org/officeDocument/2006/relationships/chart" Target="charts/chart122.xml"/><Relationship Id="rId124" Type="http://schemas.openxmlformats.org/officeDocument/2006/relationships/chart" Target="charts/chart123.xml"/><Relationship Id="rId125" Type="http://schemas.openxmlformats.org/officeDocument/2006/relationships/chart" Target="charts/chart124.xml"/><Relationship Id="rId126" Type="http://schemas.openxmlformats.org/officeDocument/2006/relationships/chart" Target="charts/chart125.xml"/><Relationship Id="rId127" Type="http://schemas.openxmlformats.org/officeDocument/2006/relationships/chart" Target="charts/chart126.xml"/><Relationship Id="rId128" Type="http://schemas.openxmlformats.org/officeDocument/2006/relationships/chart" Target="charts/chart127.xml"/><Relationship Id="rId129" Type="http://schemas.openxmlformats.org/officeDocument/2006/relationships/chart" Target="charts/chart128.xml"/><Relationship Id="rId130" Type="http://schemas.openxmlformats.org/officeDocument/2006/relationships/chart" Target="charts/chart129.xml"/><Relationship Id="rId131" Type="http://schemas.openxmlformats.org/officeDocument/2006/relationships/chart" Target="charts/chart130.xml"/><Relationship Id="rId132" Type="http://schemas.openxmlformats.org/officeDocument/2006/relationships/chart" Target="charts/chart131.xml"/><Relationship Id="rId133" Type="http://schemas.openxmlformats.org/officeDocument/2006/relationships/chart" Target="charts/chart132.xml"/><Relationship Id="rId134" Type="http://schemas.openxmlformats.org/officeDocument/2006/relationships/chart" Target="charts/chart133.xml"/><Relationship Id="rId135" Type="http://schemas.openxmlformats.org/officeDocument/2006/relationships/chart" Target="charts/chart134.xml"/><Relationship Id="rId136" Type="http://schemas.openxmlformats.org/officeDocument/2006/relationships/chart" Target="charts/chart135.xml"/><Relationship Id="rId137" Type="http://schemas.openxmlformats.org/officeDocument/2006/relationships/chart" Target="charts/chart136.xml"/><Relationship Id="rId138" Type="http://schemas.openxmlformats.org/officeDocument/2006/relationships/chart" Target="charts/chart137.xml"/><Relationship Id="rId139" Type="http://schemas.openxmlformats.org/officeDocument/2006/relationships/chart" Target="charts/chart138.xml"/><Relationship Id="rId140" Type="http://schemas.openxmlformats.org/officeDocument/2006/relationships/chart" Target="charts/chart139.xml"/><Relationship Id="rId141" Type="http://schemas.openxmlformats.org/officeDocument/2006/relationships/chart" Target="charts/chart140.xml"/><Relationship Id="rId142" Type="http://schemas.openxmlformats.org/officeDocument/2006/relationships/chart" Target="charts/chart141.xml"/><Relationship Id="rId143" Type="http://schemas.openxmlformats.org/officeDocument/2006/relationships/chart" Target="charts/chart142.xml"/><Relationship Id="rId144" Type="http://schemas.openxmlformats.org/officeDocument/2006/relationships/chart" Target="charts/chart143.xml"/><Relationship Id="rId145" Type="http://schemas.openxmlformats.org/officeDocument/2006/relationships/chart" Target="charts/chart144.xml"/><Relationship Id="rId146" Type="http://schemas.openxmlformats.org/officeDocument/2006/relationships/chart" Target="charts/chart145.xml"/><Relationship Id="rId147" Type="http://schemas.openxmlformats.org/officeDocument/2006/relationships/chart" Target="charts/chart146.xml"/><Relationship Id="rId148" Type="http://schemas.openxmlformats.org/officeDocument/2006/relationships/chart" Target="charts/chart147.xml"/><Relationship Id="rId149" Type="http://schemas.openxmlformats.org/officeDocument/2006/relationships/chart" Target="charts/chart148.xml"/><Relationship Id="rId150" Type="http://schemas.openxmlformats.org/officeDocument/2006/relationships/chart" Target="charts/chart149.xml"/><Relationship Id="rId151" Type="http://schemas.openxmlformats.org/officeDocument/2006/relationships/chart" Target="charts/chart150.xml"/><Relationship Id="rId152" Type="http://schemas.openxmlformats.org/officeDocument/2006/relationships/chart" Target="charts/chart151.xml"/><Relationship Id="rId153" Type="http://schemas.openxmlformats.org/officeDocument/2006/relationships/chart" Target="charts/chart152.xml"/><Relationship Id="rId154" Type="http://schemas.openxmlformats.org/officeDocument/2006/relationships/chart" Target="charts/chart153.xml"/><Relationship Id="rId155" Type="http://schemas.openxmlformats.org/officeDocument/2006/relationships/chart" Target="charts/chart154.xml"/><Relationship Id="rId156" Type="http://schemas.openxmlformats.org/officeDocument/2006/relationships/chart" Target="charts/chart155.xml"/><Relationship Id="rId157" Type="http://schemas.openxmlformats.org/officeDocument/2006/relationships/chart" Target="charts/chart156.xml"/><Relationship Id="rId158" Type="http://schemas.openxmlformats.org/officeDocument/2006/relationships/chart" Target="charts/chart157.xml"/><Relationship Id="rId159" Type="http://schemas.openxmlformats.org/officeDocument/2006/relationships/chart" Target="charts/chart158.xml"/><Relationship Id="rId160" Type="http://schemas.openxmlformats.org/officeDocument/2006/relationships/chart" Target="charts/chart159.xml"/><Relationship Id="rId161" Type="http://schemas.openxmlformats.org/officeDocument/2006/relationships/chart" Target="charts/chart160.xml"/><Relationship Id="rId162" Type="http://schemas.openxmlformats.org/officeDocument/2006/relationships/chart" Target="charts/chart161.xml"/><Relationship Id="rId163" Type="http://schemas.openxmlformats.org/officeDocument/2006/relationships/chart" Target="charts/chart162.xml"/><Relationship Id="rId164" Type="http://schemas.openxmlformats.org/officeDocument/2006/relationships/chart" Target="charts/chart163.xml"/><Relationship Id="rId165" Type="http://schemas.openxmlformats.org/officeDocument/2006/relationships/chart" Target="charts/chart164.xml"/><Relationship Id="rId166" Type="http://schemas.openxmlformats.org/officeDocument/2006/relationships/chart" Target="charts/chart165.xml"/><Relationship Id="rId167" Type="http://schemas.openxmlformats.org/officeDocument/2006/relationships/chart" Target="charts/chart166.xml"/><Relationship Id="rId168" Type="http://schemas.openxmlformats.org/officeDocument/2006/relationships/chart" Target="charts/chart167.xml"/><Relationship Id="rId169" Type="http://schemas.openxmlformats.org/officeDocument/2006/relationships/chart" Target="charts/chart168.xml"/><Relationship Id="rId170" Type="http://schemas.openxmlformats.org/officeDocument/2006/relationships/chart" Target="charts/chart169.xml"/><Relationship Id="rId171" Type="http://schemas.openxmlformats.org/officeDocument/2006/relationships/chart" Target="charts/chart170.xml"/><Relationship Id="rId172" Type="http://schemas.openxmlformats.org/officeDocument/2006/relationships/chart" Target="charts/chart171.xml"/><Relationship Id="rId173" Type="http://schemas.openxmlformats.org/officeDocument/2006/relationships/chart" Target="charts/chart172.xml"/><Relationship Id="rId174" Type="http://schemas.openxmlformats.org/officeDocument/2006/relationships/chart" Target="charts/chart173.xml"/><Relationship Id="rId175" Type="http://schemas.openxmlformats.org/officeDocument/2006/relationships/chart" Target="charts/chart174.xml"/><Relationship Id="rId176" Type="http://schemas.openxmlformats.org/officeDocument/2006/relationships/chart" Target="charts/chart175.xml"/><Relationship Id="rId177" Type="http://schemas.openxmlformats.org/officeDocument/2006/relationships/chart" Target="charts/chart176.xml"/><Relationship Id="rId178" Type="http://schemas.openxmlformats.org/officeDocument/2006/relationships/chart" Target="charts/chart177.xml"/><Relationship Id="rId179" Type="http://schemas.openxmlformats.org/officeDocument/2006/relationships/chart" Target="charts/chart178.xml"/><Relationship Id="rId180" Type="http://schemas.openxmlformats.org/officeDocument/2006/relationships/chart" Target="charts/chart179.xml"/><Relationship Id="rId181" Type="http://schemas.openxmlformats.org/officeDocument/2006/relationships/chart" Target="charts/chart180.xml"/><Relationship Id="rId182" Type="http://schemas.openxmlformats.org/officeDocument/2006/relationships/chart" Target="charts/chart181.xml"/><Relationship Id="rId183" Type="http://schemas.openxmlformats.org/officeDocument/2006/relationships/chart" Target="charts/chart182.xml"/><Relationship Id="rId184" Type="http://schemas.openxmlformats.org/officeDocument/2006/relationships/footer" Target="footer1.xml"/><Relationship Id="rId185" Type="http://schemas.openxmlformats.org/officeDocument/2006/relationships/numbering" Target="numbering.xml"/><Relationship Id="rId186" Type="http://schemas.openxmlformats.org/officeDocument/2006/relationships/fontTable" Target="fontTable.xml"/><Relationship Id="rId187" Type="http://schemas.openxmlformats.org/officeDocument/2006/relationships/settings" Target="settings.xml"/><Relationship Id="rId188" Type="http://schemas.openxmlformats.org/officeDocument/2006/relationships/theme" Target="theme/theme1.xml"/><Relationship Id="rId189" Type="http://schemas.openxmlformats.org/officeDocument/2006/relationships/customXml" Target="../customXml/item1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12.5</c:v>
                </c:pt>
                <c:pt idx="1">
                  <c:v>71.76</c:v>
                </c:pt>
                <c:pt idx="2">
                  <c:v>12.5</c:v>
                </c:pt>
                <c:pt idx="3">
                  <c:v>3.24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12.5</c:v>
                </c:pt>
                <c:pt idx="1">
                  <c:v>12.5</c:v>
                </c:pt>
                <c:pt idx="2">
                  <c:v>62.5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0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0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31.6433333333333</c:v>
                </c:pt>
                <c:pt idx="2">
                  <c:v>66.6666666666667</c:v>
                </c:pt>
                <c:pt idx="3">
                  <c:v>1.68999999999999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0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33.3333333333333</c:v>
                </c:pt>
                <c:pt idx="2">
                  <c:v>33.3333333333333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0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42.8571428571429</c:v>
                </c:pt>
                <c:pt idx="1">
                  <c:v>14.2857142857143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0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44.4444444444444</c:v>
                </c:pt>
                <c:pt idx="1">
                  <c:v>0</c:v>
                </c:pt>
                <c:pt idx="2">
                  <c:v>33.3333333333333</c:v>
                </c:pt>
                <c:pt idx="3">
                  <c:v>22.2222222222222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0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40.6714285714286</c:v>
                </c:pt>
                <c:pt idx="2">
                  <c:v>42.8571428571429</c:v>
                </c:pt>
                <c:pt idx="3">
                  <c:v>2.18571428571428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0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33.3333333333333</c:v>
                </c:pt>
                <c:pt idx="2">
                  <c:v>33.3333333333333</c:v>
                </c:pt>
                <c:pt idx="3">
                  <c:v>33.3333333333333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0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42.8571428571429</c:v>
                </c:pt>
                <c:pt idx="1">
                  <c:v>28.5714285714286</c:v>
                </c:pt>
                <c:pt idx="2">
                  <c:v>0</c:v>
                </c:pt>
                <c:pt idx="3">
                  <c:v>28.5714285714286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0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62.5</c:v>
                </c:pt>
                <c:pt idx="1">
                  <c:v>0</c:v>
                </c:pt>
                <c:pt idx="2">
                  <c:v>12.5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0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67.7642857142857</c:v>
                </c:pt>
                <c:pt idx="2">
                  <c:v>28.5714285714286</c:v>
                </c:pt>
                <c:pt idx="3">
                  <c:v>3.6642857142857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33.3333333333333</c:v>
                </c:pt>
                <c:pt idx="2">
                  <c:v>50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42.8571428571429</c:v>
                </c:pt>
                <c:pt idx="1">
                  <c:v>28.5714285714286</c:v>
                </c:pt>
                <c:pt idx="2">
                  <c:v>0</c:v>
                </c:pt>
                <c:pt idx="3">
                  <c:v>28.5714285714286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62.5</c:v>
                </c:pt>
                <c:pt idx="1">
                  <c:v>0</c:v>
                </c:pt>
                <c:pt idx="2">
                  <c:v>12.5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40.6457142857143</c:v>
                </c:pt>
                <c:pt idx="2">
                  <c:v>42.8571428571429</c:v>
                </c:pt>
                <c:pt idx="3">
                  <c:v>2.21142857142856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16.6666666666667</c:v>
                </c:pt>
                <c:pt idx="2">
                  <c:v>50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42.8571428571429</c:v>
                </c:pt>
                <c:pt idx="1">
                  <c:v>14.2857142857143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1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40.6328571428571</c:v>
                </c:pt>
                <c:pt idx="2">
                  <c:v>42.8571428571429</c:v>
                </c:pt>
                <c:pt idx="3">
                  <c:v>2.22428571428571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16.6666666666667</c:v>
                </c:pt>
                <c:pt idx="2">
                  <c:v>50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1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42.8571428571429</c:v>
                </c:pt>
                <c:pt idx="1">
                  <c:v>14.2857142857143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2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2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40.62</c:v>
                </c:pt>
                <c:pt idx="2">
                  <c:v>42.8571428571429</c:v>
                </c:pt>
                <c:pt idx="3">
                  <c:v>2.23714285714285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2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  <c:pt idx="2">
                  <c:v>40</c:v>
                </c:pt>
                <c:pt idx="3">
                  <c:v>20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2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2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2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63.1666666666667</c:v>
                </c:pt>
                <c:pt idx="2">
                  <c:v>33.3333333333333</c:v>
                </c:pt>
                <c:pt idx="3">
                  <c:v>3.49999999999999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2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16.6666666666667</c:v>
                </c:pt>
                <c:pt idx="2">
                  <c:v>50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2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2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2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54.1257142857143</c:v>
                </c:pt>
                <c:pt idx="2">
                  <c:v>28.5714285714286</c:v>
                </c:pt>
                <c:pt idx="3">
                  <c:v>3.01714285714284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59.74375</c:v>
                </c:pt>
                <c:pt idx="2">
                  <c:v>37.5</c:v>
                </c:pt>
                <c:pt idx="3">
                  <c:v>2.75625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3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16.6666666666667</c:v>
                </c:pt>
                <c:pt idx="2">
                  <c:v>50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3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3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3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54.1085714285714</c:v>
                </c:pt>
                <c:pt idx="2">
                  <c:v>28.5714285714286</c:v>
                </c:pt>
                <c:pt idx="3">
                  <c:v>3.0342857142857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3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33.3333333333333</c:v>
                </c:pt>
                <c:pt idx="2">
                  <c:v>33.3333333333333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3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3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3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67.6142857142857</c:v>
                </c:pt>
                <c:pt idx="2">
                  <c:v>28.5714285714286</c:v>
                </c:pt>
                <c:pt idx="3">
                  <c:v>3.8142857142857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3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33.3333333333333</c:v>
                </c:pt>
                <c:pt idx="2">
                  <c:v>33.3333333333333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3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1"/>
              <c:showVal val="1"/>
              <c:showCatName val="1"/>
              <c:showSerName val="0"/>
              <c:showPercent val="1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14.2857142857143</c:v>
                </c:pt>
                <c:pt idx="2">
                  <c:v>85.7142857142857</c:v>
                </c:pt>
                <c:pt idx="3">
                  <c:v>0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4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75</c:v>
                </c:pt>
                <c:pt idx="1">
                  <c:v>0</c:v>
                </c:pt>
                <c:pt idx="2">
                  <c:v>12.5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4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54.0742857142857</c:v>
                </c:pt>
                <c:pt idx="2">
                  <c:v>28.5714285714286</c:v>
                </c:pt>
                <c:pt idx="3">
                  <c:v>3.06857142857142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4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1"/>
              <c:showVal val="1"/>
              <c:showCatName val="1"/>
              <c:showSerName val="0"/>
              <c:showPercent val="1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20</c:v>
                </c:pt>
                <c:pt idx="1">
                  <c:v>40</c:v>
                </c:pt>
                <c:pt idx="2">
                  <c:v>40</c:v>
                </c:pt>
                <c:pt idx="3">
                  <c:v>0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4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4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4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40.5428571428572</c:v>
                </c:pt>
                <c:pt idx="2">
                  <c:v>42.8571428571429</c:v>
                </c:pt>
                <c:pt idx="3">
                  <c:v>2.31428571428571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4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33.3333333333333</c:v>
                </c:pt>
                <c:pt idx="2">
                  <c:v>33.3333333333333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4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4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4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40.53</c:v>
                </c:pt>
                <c:pt idx="2">
                  <c:v>42.8571428571429</c:v>
                </c:pt>
                <c:pt idx="3">
                  <c:v>2.32714285714285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42.8571428571429</c:v>
                </c:pt>
                <c:pt idx="2">
                  <c:v>0</c:v>
                </c:pt>
                <c:pt idx="3">
                  <c:v>28.5714285714286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5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33.3333333333333</c:v>
                </c:pt>
                <c:pt idx="2">
                  <c:v>33.3333333333333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5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5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5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54.0228571428572</c:v>
                </c:pt>
                <c:pt idx="2">
                  <c:v>42.8571428571429</c:v>
                </c:pt>
                <c:pt idx="3">
                  <c:v>3.11999999999999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5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33.3333333333333</c:v>
                </c:pt>
                <c:pt idx="2">
                  <c:v>33.3333333333333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5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5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62.5</c:v>
                </c:pt>
                <c:pt idx="1">
                  <c:v>0</c:v>
                </c:pt>
                <c:pt idx="2">
                  <c:v>12.5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5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70.8825</c:v>
                </c:pt>
                <c:pt idx="2">
                  <c:v>25</c:v>
                </c:pt>
                <c:pt idx="3">
                  <c:v>4.11749999999998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5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28.5714285714286</c:v>
                </c:pt>
                <c:pt idx="2">
                  <c:v>57.1428571428571</c:v>
                </c:pt>
                <c:pt idx="3">
                  <c:v>14.2857142857143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5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25</c:v>
                </c:pt>
                <c:pt idx="1">
                  <c:v>37.5</c:v>
                </c:pt>
                <c:pt idx="2">
                  <c:v>12.5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75</c:v>
                </c:pt>
                <c:pt idx="1">
                  <c:v>0</c:v>
                </c:pt>
                <c:pt idx="2">
                  <c:v>12.5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6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37.5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6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view3D>
      <c:rotX val="15"/>
      <c:rotY val="20"/>
      <c:rAngAx val="1"/>
      <c:perspective val="30"/>
    </c:view3D>
    <c:floor>
      <c:spPr>
        <a:noFill/>
        <a:ln w="6480">
          <a:noFill/>
        </a:ln>
      </c:spPr>
    </c:floor>
    <c:backWall>
      <c:spPr>
        <a:noFill/>
        <a:ln w="6480">
          <a:noFill/>
        </a:ln>
      </c:spPr>
    </c:backWall>
    <c:plotArea>
      <c:bar3D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invertIfNegative val="0"/>
          <c:dLbls>
            <c:numFmt formatCode="General" sourceLinked="1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26"/>
                <c:pt idx="0">
                  <c:v>Псков</c:v>
                </c:pt>
                <c:pt idx="1">
                  <c:v>Великие Луки</c:v>
                </c:pt>
                <c:pt idx="2">
                  <c:v>Бежаницкий</c:v>
                </c:pt>
                <c:pt idx="3">
                  <c:v>Великолукский</c:v>
                </c:pt>
                <c:pt idx="4">
                  <c:v>Гдовский</c:v>
                </c:pt>
                <c:pt idx="5">
                  <c:v>Дедовичский</c:v>
                </c:pt>
                <c:pt idx="6">
                  <c:v>Дновский</c:v>
                </c:pt>
                <c:pt idx="7">
                  <c:v>Красногородский</c:v>
                </c:pt>
                <c:pt idx="8">
                  <c:v>Куньинский</c:v>
                </c:pt>
                <c:pt idx="9">
                  <c:v>Локнянский</c:v>
                </c:pt>
                <c:pt idx="10">
                  <c:v>Невельский</c:v>
                </c:pt>
                <c:pt idx="11">
                  <c:v>Новоржевский</c:v>
                </c:pt>
                <c:pt idx="12">
                  <c:v>Новосокольнический</c:v>
                </c:pt>
                <c:pt idx="13">
                  <c:v>Опочецкий</c:v>
                </c:pt>
                <c:pt idx="14">
                  <c:v>Островский</c:v>
                </c:pt>
                <c:pt idx="15">
                  <c:v>Палкинский</c:v>
                </c:pt>
                <c:pt idx="16">
                  <c:v>Печорский</c:v>
                </c:pt>
                <c:pt idx="17">
                  <c:v>Плюсский</c:v>
                </c:pt>
                <c:pt idx="18">
                  <c:v>Порховский</c:v>
                </c:pt>
                <c:pt idx="19">
                  <c:v>Псковский</c:v>
                </c:pt>
                <c:pt idx="20">
                  <c:v>Пустошкинский</c:v>
                </c:pt>
                <c:pt idx="21">
                  <c:v>Пушкиногорский</c:v>
                </c:pt>
                <c:pt idx="22">
                  <c:v>Пыталовский</c:v>
                </c:pt>
                <c:pt idx="23">
                  <c:v>Себежский</c:v>
                </c:pt>
                <c:pt idx="24">
                  <c:v>Струго-Красненский</c:v>
                </c:pt>
                <c:pt idx="25">
                  <c:v>Усвятский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26"/>
                <c:pt idx="0">
                  <c:v>39.05</c:v>
                </c:pt>
                <c:pt idx="1">
                  <c:v>13.93</c:v>
                </c:pt>
                <c:pt idx="2">
                  <c:v>1.24</c:v>
                </c:pt>
                <c:pt idx="3">
                  <c:v>1.74</c:v>
                </c:pt>
                <c:pt idx="4">
                  <c:v>1.99</c:v>
                </c:pt>
                <c:pt idx="5">
                  <c:v>1.24</c:v>
                </c:pt>
                <c:pt idx="6">
                  <c:v>2.99</c:v>
                </c:pt>
                <c:pt idx="7">
                  <c:v>3.73</c:v>
                </c:pt>
                <c:pt idx="8">
                  <c:v>1.49</c:v>
                </c:pt>
                <c:pt idx="9">
                  <c:v>1.99</c:v>
                </c:pt>
                <c:pt idx="10">
                  <c:v>2.24</c:v>
                </c:pt>
                <c:pt idx="11">
                  <c:v>3.49</c:v>
                </c:pt>
                <c:pt idx="12">
                  <c:v>2.99</c:v>
                </c:pt>
                <c:pt idx="13">
                  <c:v>3.99</c:v>
                </c:pt>
                <c:pt idx="14">
                  <c:v>1.74</c:v>
                </c:pt>
                <c:pt idx="15">
                  <c:v>1.24</c:v>
                </c:pt>
                <c:pt idx="16">
                  <c:v>0.75</c:v>
                </c:pt>
                <c:pt idx="17">
                  <c:v>2.24</c:v>
                </c:pt>
                <c:pt idx="18">
                  <c:v>0.49</c:v>
                </c:pt>
                <c:pt idx="19">
                  <c:v>1.49</c:v>
                </c:pt>
                <c:pt idx="20">
                  <c:v>0.75</c:v>
                </c:pt>
                <c:pt idx="21">
                  <c:v>1.99</c:v>
                </c:pt>
                <c:pt idx="22">
                  <c:v>1.24</c:v>
                </c:pt>
                <c:pt idx="23">
                  <c:v>2.99</c:v>
                </c:pt>
                <c:pt idx="24">
                  <c:v>0.99</c:v>
                </c:pt>
                <c:pt idx="25">
                  <c:v>1.99</c:v>
                </c:pt>
              </c:numCache>
            </c:numRef>
          </c:val>
        </c:ser>
        <c:gapWidth val="150"/>
        <c:shape val="box"/>
        <c:axId val="29165429"/>
        <c:axId val="76681367"/>
        <c:axId val="0"/>
      </c:bar3DChart>
      <c:catAx>
        <c:axId val="29165429"/>
        <c:scaling>
          <c:orientation val="minMax"/>
        </c:scaling>
        <c:delete val="0"/>
        <c:axPos val="b"/>
        <c:numFmt formatCode="DD/MM/YYYY" sourceLinked="1"/>
        <c:majorTickMark val="none"/>
        <c:minorTickMark val="none"/>
        <c:tickLblPos val="nextTo"/>
        <c:spPr>
          <a:ln w="9360">
            <a:solidFill>
              <a:srgbClr val="e0e5eb"/>
            </a:solidFill>
            <a:round/>
          </a:ln>
        </c:spPr>
        <c:txPr>
          <a:bodyPr/>
          <a:lstStyle/>
          <a:p>
            <a:pPr>
              <a:defRPr b="0" sz="900" spc="-1" strike="noStrike">
                <a:solidFill>
                  <a:srgbClr val="44546a"/>
                </a:solidFill>
                <a:latin typeface="Calibri"/>
              </a:defRPr>
            </a:pPr>
          </a:p>
        </c:txPr>
        <c:crossAx val="76681367"/>
        <c:crosses val="autoZero"/>
        <c:auto val="1"/>
        <c:lblAlgn val="ctr"/>
        <c:lblOffset val="100"/>
      </c:catAx>
      <c:valAx>
        <c:axId val="76681367"/>
        <c:scaling>
          <c:orientation val="minMax"/>
        </c:scaling>
        <c:delete val="0"/>
        <c:axPos val="l"/>
        <c:majorGridlines>
          <c:spPr>
            <a:ln w="9360">
              <a:solidFill>
                <a:srgbClr val="e0e5eb"/>
              </a:solidFill>
              <a:round/>
            </a:ln>
          </c:spPr>
        </c:majorGridlines>
        <c:numFmt formatCode="General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b="0" sz="900" spc="-1" strike="noStrike">
                <a:solidFill>
                  <a:srgbClr val="44546a"/>
                </a:solidFill>
                <a:latin typeface="Calibri"/>
              </a:defRPr>
            </a:pPr>
          </a:p>
        </c:txPr>
        <c:crossAx val="29165429"/>
        <c:crosses val="autoZero"/>
      </c:valAx>
      <c:spPr>
        <a:noFill/>
        <a:ln w="6480">
          <a:noFill/>
        </a:ln>
      </c:spPr>
    </c:plotArea>
    <c:plotVisOnly val="1"/>
    <c:dispBlanksAs val="gap"/>
  </c:chart>
  <c:spPr>
    <a:solidFill>
      <a:srgbClr val="ffffff"/>
    </a:solidFill>
    <a:ln w="9360">
      <a:solidFill>
        <a:srgbClr val="e0e5eb"/>
      </a:solidFill>
      <a:round/>
    </a:ln>
  </c:spPr>
</c:chartSpace>
</file>

<file path=word/charts/chart16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2"/>
                <c:pt idx="0">
                  <c:v>Индивидуальный предприниматель</c:v>
                </c:pt>
                <c:pt idx="1">
                  <c:v>Юридическое лицо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2"/>
                <c:pt idx="0">
                  <c:v>57.21</c:v>
                </c:pt>
                <c:pt idx="1">
                  <c:v>42.79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solidFill>
            <a:srgbClr val="5b9bd5"/>
          </a:solidFill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6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4"/>
                <c:pt idx="0">
                  <c:v>Менее 1 года</c:v>
                </c:pt>
                <c:pt idx="1">
                  <c:v>От 1 года до 3 лет</c:v>
                </c:pt>
                <c:pt idx="2">
                  <c:v>От 3 года до 5 лет</c:v>
                </c:pt>
                <c:pt idx="3">
                  <c:v>Более 5 лет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17.41</c:v>
                </c:pt>
                <c:pt idx="1">
                  <c:v>19.15</c:v>
                </c:pt>
                <c:pt idx="2">
                  <c:v>24.14</c:v>
                </c:pt>
                <c:pt idx="3">
                  <c:v>39.3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6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3"/>
                <c:pt idx="0">
                  <c:v>Малое предприятие</c:v>
                </c:pt>
                <c:pt idx="1">
                  <c:v>Среднее предприятие</c:v>
                </c:pt>
                <c:pt idx="2">
                  <c:v>Крупное предприятие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89.3</c:v>
                </c:pt>
                <c:pt idx="1">
                  <c:v>6.22</c:v>
                </c:pt>
                <c:pt idx="2">
                  <c:v>4.48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6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Pt>
            <c:idx val="4"/>
            <c:spPr>
              <a:solidFill>
                <a:srgbClr val="264478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4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5"/>
                <c:pt idx="0">
                  <c:v>Очень хорошие</c:v>
                </c:pt>
                <c:pt idx="1">
                  <c:v>Хорошие</c:v>
                </c:pt>
                <c:pt idx="2">
                  <c:v>Удовлетворительные</c:v>
                </c:pt>
                <c:pt idx="3">
                  <c:v>Неудовлетворительные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7.46</c:v>
                </c:pt>
                <c:pt idx="1">
                  <c:v>30.35</c:v>
                </c:pt>
                <c:pt idx="2">
                  <c:v>34.83</c:v>
                </c:pt>
                <c:pt idx="3">
                  <c:v>17.41</c:v>
                </c:pt>
                <c:pt idx="4">
                  <c:v>9.95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6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Pt>
            <c:idx val="4"/>
            <c:spPr>
              <a:solidFill>
                <a:srgbClr val="264478"/>
              </a:solidFill>
              <a:ln>
                <a:noFill/>
              </a:ln>
            </c:spPr>
          </c:dPt>
          <c:dPt>
            <c:idx val="5"/>
            <c:spPr>
              <a:solidFill>
                <a:srgbClr val="997300"/>
              </a:solidFill>
              <a:ln>
                <a:noFill/>
              </a:ln>
            </c:spPr>
          </c:dPt>
          <c:dPt>
            <c:idx val="6"/>
            <c:spPr>
              <a:solidFill>
                <a:srgbClr val="8cc168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4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5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6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7"/>
                <c:pt idx="0">
                  <c:v>Административные барьеры отсутствуют, как и ранее</c:v>
                </c:pt>
                <c:pt idx="1">
                  <c:v>Административные барьеры были полностью устранены</c:v>
                </c:pt>
                <c:pt idx="2">
                  <c:v>Бизнесу стало проще преодолевать административные барьеры, чем раньше</c:v>
                </c:pt>
                <c:pt idx="3">
                  <c:v>Бизнесу стало сложнее преодолевать административные барьеры, чем раньше</c:v>
                </c:pt>
                <c:pt idx="4">
                  <c:v>Уровень и количество административных барьеров не изменились</c:v>
                </c:pt>
                <c:pt idx="5">
                  <c:v>Ранее административные барьеры отсутствовали, однако сейчас появились</c:v>
                </c:pt>
                <c:pt idx="6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7"/>
                <c:pt idx="0">
                  <c:v>7.96</c:v>
                </c:pt>
                <c:pt idx="1">
                  <c:v>10.45</c:v>
                </c:pt>
                <c:pt idx="2">
                  <c:v>11.69</c:v>
                </c:pt>
                <c:pt idx="3">
                  <c:v>20.4</c:v>
                </c:pt>
                <c:pt idx="4">
                  <c:v>21.64</c:v>
                </c:pt>
                <c:pt idx="5">
                  <c:v>2.98</c:v>
                </c:pt>
                <c:pt idx="6">
                  <c:v>24.88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ayout>
        <c:manualLayout>
          <c:xMode val="edge"/>
          <c:yMode val="edge"/>
          <c:x val="0.681"/>
          <c:y val="0"/>
          <c:w val="0.318957434839677"/>
          <c:h val="0.78853205911768"/>
        </c:manualLayout>
      </c:layout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6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4"/>
                <c:pt idx="0">
                  <c:v>Есть непреодолимые административные барьеры</c:v>
                </c:pt>
                <c:pt idx="1">
                  <c:v>Есть барьеры, преодолимые при осуществлении значительных затрат</c:v>
                </c:pt>
                <c:pt idx="2">
                  <c:v>Административные барьеры есть, но они преодолимы без существенных затрат</c:v>
                </c:pt>
                <c:pt idx="3">
                  <c:v>Нет административных барьеров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22.89</c:v>
                </c:pt>
                <c:pt idx="1">
                  <c:v>48.26</c:v>
                </c:pt>
                <c:pt idx="2">
                  <c:v>15.42</c:v>
                </c:pt>
                <c:pt idx="3">
                  <c:v>13.43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6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4"/>
                <c:pt idx="0">
                  <c:v>Есть непреодолимые административные барьеры</c:v>
                </c:pt>
                <c:pt idx="1">
                  <c:v>Есть барьеры, преодолимые при осуществлении значительных затрат</c:v>
                </c:pt>
                <c:pt idx="2">
                  <c:v>Административные барьеры есть, но они преодолимы без существенных затрат</c:v>
                </c:pt>
                <c:pt idx="3">
                  <c:v>Нет административных барьеров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22.89</c:v>
                </c:pt>
                <c:pt idx="1">
                  <c:v>48.26</c:v>
                </c:pt>
                <c:pt idx="2">
                  <c:v>15.42</c:v>
                </c:pt>
                <c:pt idx="3">
                  <c:v>13.43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6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Pt>
            <c:idx val="4"/>
            <c:spPr>
              <a:solidFill>
                <a:srgbClr val="264478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4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5"/>
                <c:pt idx="0">
                  <c:v>Удовлетворительно</c:v>
                </c:pt>
                <c:pt idx="1">
                  <c:v>Скорее удовлетворительно</c:v>
                </c:pt>
                <c:pt idx="2">
                  <c:v>Скорее неудовлетворительно</c:v>
                </c:pt>
                <c:pt idx="3">
                  <c:v>Неудовлетворительно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42.29</c:v>
                </c:pt>
                <c:pt idx="1">
                  <c:v>32.34</c:v>
                </c:pt>
                <c:pt idx="2">
                  <c:v>7.96</c:v>
                </c:pt>
                <c:pt idx="3">
                  <c:v>3.98</c:v>
                </c:pt>
                <c:pt idx="4">
                  <c:v>13.43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12.5</c:v>
                </c:pt>
                <c:pt idx="1">
                  <c:v>35.835</c:v>
                </c:pt>
                <c:pt idx="2">
                  <c:v>50</c:v>
                </c:pt>
                <c:pt idx="3">
                  <c:v>1.665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7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Pt>
            <c:idx val="4"/>
            <c:spPr>
              <a:solidFill>
                <a:srgbClr val="264478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4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5"/>
                <c:pt idx="0">
                  <c:v>Удовлетворительно</c:v>
                </c:pt>
                <c:pt idx="1">
                  <c:v>Скорее удовлетворительно</c:v>
                </c:pt>
                <c:pt idx="2">
                  <c:v>Скорее неудовлетворительно</c:v>
                </c:pt>
                <c:pt idx="3">
                  <c:v>Неудовлетворительно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12.44</c:v>
                </c:pt>
                <c:pt idx="1">
                  <c:v>23.88</c:v>
                </c:pt>
                <c:pt idx="2">
                  <c:v>23.88</c:v>
                </c:pt>
                <c:pt idx="3">
                  <c:v>11.19</c:v>
                </c:pt>
                <c:pt idx="4">
                  <c:v>28.61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ed7d31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Pt>
            <c:idx val="4"/>
            <c:spPr>
              <a:solidFill>
                <a:srgbClr val="264478"/>
              </a:solidFill>
              <a:ln>
                <a:noFill/>
              </a:ln>
            </c:spPr>
          </c:dPt>
          <c:dLbls>
            <c:numFmt formatCode="General" sourceLinked="1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4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5"/>
                <c:pt idx="0">
                  <c:v>Удовлетворительно</c:v>
                </c:pt>
                <c:pt idx="1">
                  <c:v>Скорее удовлетворительно</c:v>
                </c:pt>
                <c:pt idx="2">
                  <c:v>Скорее неудовлетворительно</c:v>
                </c:pt>
                <c:pt idx="3">
                  <c:v>Неудовлетворительно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5"/>
                <c:pt idx="0">
                  <c:v>50</c:v>
                </c:pt>
                <c:pt idx="1">
                  <c:v>96</c:v>
                </c:pt>
                <c:pt idx="2">
                  <c:v>96</c:v>
                </c:pt>
                <c:pt idx="3">
                  <c:v>45</c:v>
                </c:pt>
                <c:pt idx="4">
                  <c:v>115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a5a5a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Pt>
            <c:idx val="4"/>
            <c:spPr>
              <a:solidFill>
                <a:srgbClr val="264478"/>
              </a:solidFill>
              <a:ln>
                <a:noFill/>
              </a:ln>
            </c:spPr>
          </c:dPt>
          <c:dLbls>
            <c:numFmt formatCode="General" sourceLinked="1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4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5"/>
                <c:pt idx="0">
                  <c:v>Удовлетворительно</c:v>
                </c:pt>
                <c:pt idx="1">
                  <c:v>Скорее удовлетворительно</c:v>
                </c:pt>
                <c:pt idx="2">
                  <c:v>Скорее неудовлетворительно</c:v>
                </c:pt>
                <c:pt idx="3">
                  <c:v>Неудовлетворительно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5"/>
                <c:pt idx="0">
                  <c:v>12.4378109452736</c:v>
                </c:pt>
                <c:pt idx="1">
                  <c:v>23.8805970149254</c:v>
                </c:pt>
                <c:pt idx="2">
                  <c:v>23.8805970149254</c:v>
                </c:pt>
                <c:pt idx="3">
                  <c:v>11.1940298507463</c:v>
                </c:pt>
                <c:pt idx="4">
                  <c:v>28.6069651741293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7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3"/>
                <c:pt idx="0">
                  <c:v>Легко</c:v>
                </c:pt>
                <c:pt idx="1">
                  <c:v>Сложно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30.35</c:v>
                </c:pt>
                <c:pt idx="1">
                  <c:v>53.48</c:v>
                </c:pt>
                <c:pt idx="2">
                  <c:v>16.17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solidFill>
          <a:srgbClr val="f2f2f2">
            <a:alpha val="39000"/>
          </a:srgbClr>
        </a:solidFill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7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Pt>
            <c:idx val="4"/>
            <c:spPr>
              <a:solidFill>
                <a:srgbClr val="264478"/>
              </a:solidFill>
              <a:ln>
                <a:noFill/>
              </a:ln>
            </c:spPr>
          </c:dPt>
          <c:dPt>
            <c:idx val="5"/>
            <c:spPr>
              <a:solidFill>
                <a:srgbClr val="997300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4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5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6"/>
                <c:pt idx="0">
                  <c:v>Отсутствует</c:v>
                </c:pt>
                <c:pt idx="1">
                  <c:v>Невысокий</c:v>
                </c:pt>
                <c:pt idx="2">
                  <c:v>Средний</c:v>
                </c:pt>
                <c:pt idx="3">
                  <c:v>Высокий</c:v>
                </c:pt>
                <c:pt idx="4">
                  <c:v>Очень высок</c:v>
                </c:pt>
                <c:pt idx="5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6"/>
                <c:pt idx="0">
                  <c:v>3.73</c:v>
                </c:pt>
                <c:pt idx="1">
                  <c:v>9.95</c:v>
                </c:pt>
                <c:pt idx="2">
                  <c:v>14.92</c:v>
                </c:pt>
                <c:pt idx="3">
                  <c:v>29.85</c:v>
                </c:pt>
                <c:pt idx="4">
                  <c:v>19.91</c:v>
                </c:pt>
                <c:pt idx="5">
                  <c:v>21.64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solidFill>
        <a:srgbClr val="bfbfbf"/>
      </a:solidFill>
      <a:round/>
    </a:ln>
  </c:spPr>
</c:chartSpace>
</file>

<file path=word/charts/chart17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4"/>
                <c:pt idx="0">
                  <c:v>Нет конкурентов</c:v>
                </c:pt>
                <c:pt idx="1">
                  <c:v>От 1 до 3 конкурентов</c:v>
                </c:pt>
                <c:pt idx="2">
                  <c:v>4 и более конкурентов</c:v>
                </c:pt>
                <c:pt idx="3">
                  <c:v>Большое количество конкурентов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2.49</c:v>
                </c:pt>
                <c:pt idx="1">
                  <c:v>17.41</c:v>
                </c:pt>
                <c:pt idx="2">
                  <c:v>37.31</c:v>
                </c:pt>
                <c:pt idx="3">
                  <c:v>42.79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solidFill>
          <a:srgbClr val="f2f2f2">
            <a:alpha val="39000"/>
          </a:srgbClr>
        </a:solidFill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7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Pt>
            <c:idx val="4"/>
            <c:spPr>
              <a:solidFill>
                <a:srgbClr val="4472c4"/>
              </a:solidFill>
              <a:ln>
                <a:noFill/>
              </a:ln>
            </c:spPr>
          </c:dPt>
          <c:dPt>
            <c:idx val="5"/>
            <c:spPr>
              <a:solidFill>
                <a:srgbClr val="70ad47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4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5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6"/>
                <c:pt idx="0">
                  <c:v>Сократилось на 4 и более конкурентов</c:v>
                </c:pt>
                <c:pt idx="1">
                  <c:v>Сократилось на 1-3 конкурента</c:v>
                </c:pt>
                <c:pt idx="2">
                  <c:v>Не изменилось</c:v>
                </c:pt>
                <c:pt idx="3">
                  <c:v>Увеличилось на 1-3 конкурента</c:v>
                </c:pt>
                <c:pt idx="4">
                  <c:v>Увеличилось на 4 и более конкурентов</c:v>
                </c:pt>
                <c:pt idx="5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6"/>
                <c:pt idx="0">
                  <c:v>2.99</c:v>
                </c:pt>
                <c:pt idx="1">
                  <c:v>5.97</c:v>
                </c:pt>
                <c:pt idx="2">
                  <c:v>21.39</c:v>
                </c:pt>
                <c:pt idx="3">
                  <c:v>26.12</c:v>
                </c:pt>
                <c:pt idx="4">
                  <c:v>18.66</c:v>
                </c:pt>
                <c:pt idx="5">
                  <c:v>24.88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7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4"/>
                <c:pt idx="0">
                  <c:v>Улучшилось</c:v>
                </c:pt>
                <c:pt idx="1">
                  <c:v>Осталось без изменений</c:v>
                </c:pt>
                <c:pt idx="2">
                  <c:v>Ухудшилось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10.45</c:v>
                </c:pt>
                <c:pt idx="1">
                  <c:v>24.88</c:v>
                </c:pt>
                <c:pt idx="2">
                  <c:v>34.82</c:v>
                </c:pt>
                <c:pt idx="3">
                  <c:v>29.85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7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0"/>
          <c:dPt>
            <c:idx val="0"/>
            <c:spPr>
              <a:solidFill>
                <a:srgbClr val="70ad47"/>
              </a:solidFill>
              <a:ln>
                <a:noFill/>
              </a:ln>
            </c:spPr>
          </c:dPt>
          <c:dPt>
            <c:idx val="1"/>
            <c:spPr>
              <a:solidFill>
                <a:srgbClr val="4472c4"/>
              </a:solidFill>
              <a:ln>
                <a:noFill/>
              </a:ln>
            </c:spPr>
          </c:dPt>
          <c:dPt>
            <c:idx val="2"/>
            <c:spPr>
              <a:solidFill>
                <a:srgbClr val="ffc000"/>
              </a:solidFill>
              <a:ln>
                <a:noFill/>
              </a:ln>
            </c:spPr>
          </c:dPt>
          <c:dPt>
            <c:idx val="3"/>
            <c:spPr>
              <a:solidFill>
                <a:srgbClr val="43682b"/>
              </a:solidFill>
              <a:ln>
                <a:noFill/>
              </a:ln>
            </c:spPr>
          </c:dPt>
          <c:dLbls>
            <c:numFmt formatCode="General" sourceLinked="0"/>
            <c:dLbl>
              <c:idx val="0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1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2"/>
              <c:dLblPos val="ctr"/>
              <c:showLegendKey val="0"/>
              <c:showVal val="0"/>
              <c:showCatName val="0"/>
              <c:showSerName val="0"/>
              <c:showPercent val="1"/>
            </c:dLbl>
            <c:dLbl>
              <c:idx val="3"/>
              <c:dLblPos val="ctr"/>
              <c:showLegendKey val="0"/>
              <c:showVal val="0"/>
              <c:showCatName val="0"/>
              <c:showSerName val="0"/>
              <c:showPercent val="1"/>
            </c:dLbl>
            <c:dLblPos val="ctr"/>
            <c:showLegendKey val="0"/>
            <c:showVal val="0"/>
            <c:showCatName val="0"/>
            <c:showSerName val="0"/>
            <c:showPercent val="1"/>
            <c:showLeaderLines val="0"/>
          </c:dLbls>
          <c:cat>
            <c:strRef>
              <c:f>categories</c:f>
              <c:strCache>
                <c:ptCount val="4"/>
                <c:pt idx="0">
                  <c:v>Уменьшилось</c:v>
                </c:pt>
                <c:pt idx="1">
                  <c:v>Осталось без изменений</c:v>
                </c:pt>
                <c:pt idx="2">
                  <c:v>Увеличилось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22.89</c:v>
                </c:pt>
                <c:pt idx="1">
                  <c:v>29.85</c:v>
                </c:pt>
                <c:pt idx="2">
                  <c:v>32.33</c:v>
                </c:pt>
                <c:pt idx="3">
                  <c:v>14.93</c:v>
                </c:pt>
              </c:numCache>
            </c:numRef>
          </c:val>
        </c:ser>
        <c:firstSliceAng val="0"/>
      </c:pie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404040"/>
              </a:solidFill>
              <a:latin typeface="Calibri"/>
            </a:defRPr>
          </a:pPr>
        </a:p>
      </c:txPr>
    </c:legend>
    <c:plotVisOnly val="1"/>
    <c:dispBlanksAs val="gap"/>
  </c:chart>
  <c:spPr>
    <a:noFill/>
    <a:ln w="9360">
      <a:noFill/>
    </a:ln>
  </c:spPr>
</c:chartSpace>
</file>

<file path=word/charts/chart17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barChart>
        <c:barDir val="bar"/>
        <c:grouping val="percent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не влияет</c:v>
                </c:pt>
              </c:strCache>
            </c:strRef>
          </c:tx>
          <c:spPr>
            <a:solidFill>
              <a:srgbClr val="70ad47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10.46</c:v>
                </c:pt>
                <c:pt idx="1">
                  <c:v>4.98</c:v>
                </c:pt>
                <c:pt idx="2">
                  <c:v>7.46</c:v>
                </c:pt>
                <c:pt idx="3">
                  <c:v>1.24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приемлемо</c:v>
                </c:pt>
              </c:strCache>
            </c:strRef>
          </c:tx>
          <c:spPr>
            <a:solidFill>
              <a:srgbClr val="4472c4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5"/>
                <c:pt idx="0">
                  <c:v>42.28</c:v>
                </c:pt>
                <c:pt idx="1">
                  <c:v>27.36</c:v>
                </c:pt>
                <c:pt idx="2">
                  <c:v>39.8</c:v>
                </c:pt>
                <c:pt idx="3">
                  <c:v>34.83</c:v>
                </c:pt>
                <c:pt idx="4">
                  <c:v>22.39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сильно слияет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5"/>
                <c:pt idx="0">
                  <c:v>27.36</c:v>
                </c:pt>
                <c:pt idx="1">
                  <c:v>42.29</c:v>
                </c:pt>
                <c:pt idx="2">
                  <c:v>29.85</c:v>
                </c:pt>
                <c:pt idx="3">
                  <c:v>42.29</c:v>
                </c:pt>
                <c:pt idx="4">
                  <c:v>57.21</c:v>
                </c:pt>
              </c:numCache>
            </c:numRef>
          </c:val>
        </c:ser>
        <c:ser>
          <c:idx val="3"/>
          <c:order val="3"/>
          <c:tx>
            <c:strRef>
              <c:f>label 3</c:f>
              <c:strCache>
                <c:ptCount val="1"/>
                <c:pt idx="0">
                  <c:v>затрудняюсь ответить</c:v>
                </c:pt>
              </c:strCache>
            </c:strRef>
          </c:tx>
          <c:spPr>
            <a:solidFill>
              <a:srgbClr val="43682b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3</c:f>
              <c:numCache>
                <c:formatCode>General</c:formatCode>
                <c:ptCount val="5"/>
                <c:pt idx="0">
                  <c:v>19.9</c:v>
                </c:pt>
                <c:pt idx="1">
                  <c:v>25.37</c:v>
                </c:pt>
                <c:pt idx="2">
                  <c:v>22.89</c:v>
                </c:pt>
                <c:pt idx="3">
                  <c:v>21.64</c:v>
                </c:pt>
                <c:pt idx="4">
                  <c:v>20.4</c:v>
                </c:pt>
              </c:numCache>
            </c:numRef>
          </c:val>
        </c:ser>
        <c:gapWidth val="79"/>
        <c:overlap val="100"/>
        <c:axId val="20619418"/>
        <c:axId val="76442603"/>
      </c:barChart>
      <c:catAx>
        <c:axId val="20619418"/>
        <c:scaling>
          <c:orientation val="minMax"/>
        </c:scaling>
        <c:delete val="0"/>
        <c:axPos val="b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DD/MM/YYYY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b="0" sz="800" spc="114" strike="noStrike">
                <a:solidFill>
                  <a:srgbClr val="595959"/>
                </a:solidFill>
                <a:latin typeface="Calibri"/>
              </a:defRPr>
            </a:pPr>
          </a:p>
        </c:txPr>
        <c:crossAx val="76442603"/>
        <c:crosses val="autoZero"/>
        <c:auto val="1"/>
        <c:lblAlgn val="ctr"/>
        <c:lblOffset val="100"/>
      </c:catAx>
      <c:valAx>
        <c:axId val="76442603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Calibri"/>
              </a:defRPr>
            </a:pPr>
          </a:p>
        </c:txPr>
        <c:crossAx val="20619418"/>
        <c:crosses val="autoZero"/>
      </c:valAx>
      <c:spPr>
        <a:noFill/>
        <a:ln>
          <a:noFill/>
        </a:ln>
      </c:spPr>
    </c:plotArea>
    <c:legend>
      <c:legendPos val="t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595959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 w="9360">
      <a:solidFill>
        <a:srgbClr val="d9d9d9"/>
      </a:solidFill>
      <a:round/>
    </a:ln>
  </c:spPr>
</c:chartSpace>
</file>

<file path=word/charts/chart17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barChart>
        <c:barDir val="bar"/>
        <c:grouping val="percent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неприемлемо</c:v>
                </c:pt>
              </c:strCache>
            </c:strRef>
          </c:tx>
          <c:spPr>
            <a:solidFill>
              <a:srgbClr val="70ad47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24.87</c:v>
                </c:pt>
                <c:pt idx="1">
                  <c:v>39.8</c:v>
                </c:pt>
                <c:pt idx="2">
                  <c:v>17.66</c:v>
                </c:pt>
                <c:pt idx="3">
                  <c:v>15.67</c:v>
                </c:pt>
                <c:pt idx="4">
                  <c:v>33.83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приемлемо</c:v>
                </c:pt>
              </c:strCache>
            </c:strRef>
          </c:tx>
          <c:spPr>
            <a:solidFill>
              <a:srgbClr val="4472c4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5"/>
                <c:pt idx="0">
                  <c:v>53.48</c:v>
                </c:pt>
                <c:pt idx="1">
                  <c:v>38.06</c:v>
                </c:pt>
                <c:pt idx="2">
                  <c:v>60.7</c:v>
                </c:pt>
                <c:pt idx="3">
                  <c:v>55.97</c:v>
                </c:pt>
                <c:pt idx="4">
                  <c:v>47.76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полностью устраивает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5"/>
                <c:pt idx="0">
                  <c:v>13.18</c:v>
                </c:pt>
                <c:pt idx="1">
                  <c:v>15.92</c:v>
                </c:pt>
                <c:pt idx="2">
                  <c:v>12.94</c:v>
                </c:pt>
                <c:pt idx="3">
                  <c:v>19.9</c:v>
                </c:pt>
                <c:pt idx="4">
                  <c:v>8.96</c:v>
                </c:pt>
              </c:numCache>
            </c:numRef>
          </c:val>
        </c:ser>
        <c:ser>
          <c:idx val="3"/>
          <c:order val="3"/>
          <c:tx>
            <c:strRef>
              <c:f>label 3</c:f>
              <c:strCache>
                <c:ptCount val="1"/>
                <c:pt idx="0">
                  <c:v>затрудняюсь ответить</c:v>
                </c:pt>
              </c:strCache>
            </c:strRef>
          </c:tx>
          <c:spPr>
            <a:solidFill>
              <a:srgbClr val="43682b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3</c:f>
              <c:numCache>
                <c:formatCode>General</c:formatCode>
                <c:ptCount val="5"/>
                <c:pt idx="0">
                  <c:v>8.47</c:v>
                </c:pt>
                <c:pt idx="1">
                  <c:v>6.22</c:v>
                </c:pt>
                <c:pt idx="2">
                  <c:v>8.7</c:v>
                </c:pt>
                <c:pt idx="3">
                  <c:v>8.46</c:v>
                </c:pt>
                <c:pt idx="4">
                  <c:v>9.45</c:v>
                </c:pt>
              </c:numCache>
            </c:numRef>
          </c:val>
        </c:ser>
        <c:gapWidth val="79"/>
        <c:overlap val="100"/>
        <c:axId val="49191250"/>
        <c:axId val="19288727"/>
      </c:barChart>
      <c:catAx>
        <c:axId val="49191250"/>
        <c:scaling>
          <c:orientation val="minMax"/>
        </c:scaling>
        <c:delete val="0"/>
        <c:axPos val="b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DD/MM/YYYY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b="0" sz="800" spc="114" strike="noStrike">
                <a:solidFill>
                  <a:srgbClr val="595959"/>
                </a:solidFill>
                <a:latin typeface="Calibri"/>
              </a:defRPr>
            </a:pPr>
          </a:p>
        </c:txPr>
        <c:crossAx val="19288727"/>
        <c:crosses val="autoZero"/>
        <c:auto val="1"/>
        <c:lblAlgn val="ctr"/>
        <c:lblOffset val="100"/>
      </c:catAx>
      <c:valAx>
        <c:axId val="19288727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Calibri"/>
              </a:defRPr>
            </a:pPr>
          </a:p>
        </c:txPr>
        <c:crossAx val="49191250"/>
        <c:crosses val="autoZero"/>
      </c:valAx>
      <c:spPr>
        <a:noFill/>
        <a:ln>
          <a:noFill/>
        </a:ln>
      </c:spPr>
    </c:plotArea>
    <c:legend>
      <c:legendPos val="b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595959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 w="9360">
      <a:solidFill>
        <a:srgbClr val="d9d9d9"/>
      </a:solidFill>
      <a:round/>
    </a:ln>
  </c:spPr>
</c:chartSpace>
</file>

<file path=word/charts/chart17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barChart>
        <c:barDir val="bar"/>
        <c:grouping val="percent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неприемлемо</c:v>
                </c:pt>
              </c:strCache>
            </c:strRef>
          </c:tx>
          <c:spPr>
            <a:solidFill>
              <a:srgbClr val="70ad47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26.12</c:v>
                </c:pt>
                <c:pt idx="1">
                  <c:v>29.85</c:v>
                </c:pt>
                <c:pt idx="2">
                  <c:v>19.65</c:v>
                </c:pt>
                <c:pt idx="3">
                  <c:v>21.64</c:v>
                </c:pt>
                <c:pt idx="4">
                  <c:v>30.35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приемлемо</c:v>
                </c:pt>
              </c:strCache>
            </c:strRef>
          </c:tx>
          <c:spPr>
            <a:solidFill>
              <a:srgbClr val="4472c4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5"/>
                <c:pt idx="0">
                  <c:v>49.75</c:v>
                </c:pt>
                <c:pt idx="1">
                  <c:v>38.8</c:v>
                </c:pt>
                <c:pt idx="2">
                  <c:v>43.53</c:v>
                </c:pt>
                <c:pt idx="3">
                  <c:v>39.3</c:v>
                </c:pt>
                <c:pt idx="4">
                  <c:v>41.04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полностью устраивает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5"/>
                <c:pt idx="0">
                  <c:v>15.67</c:v>
                </c:pt>
                <c:pt idx="1">
                  <c:v>23.63</c:v>
                </c:pt>
                <c:pt idx="2">
                  <c:v>21.39</c:v>
                </c:pt>
                <c:pt idx="3">
                  <c:v>24.88</c:v>
                </c:pt>
                <c:pt idx="4">
                  <c:v>14.68</c:v>
                </c:pt>
              </c:numCache>
            </c:numRef>
          </c:val>
        </c:ser>
        <c:ser>
          <c:idx val="3"/>
          <c:order val="3"/>
          <c:tx>
            <c:strRef>
              <c:f>label 3</c:f>
              <c:strCache>
                <c:ptCount val="1"/>
                <c:pt idx="0">
                  <c:v>затрудняюсь ответить</c:v>
                </c:pt>
              </c:strCache>
            </c:strRef>
          </c:tx>
          <c:spPr>
            <a:solidFill>
              <a:srgbClr val="43682b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3</c:f>
              <c:numCache>
                <c:formatCode>General</c:formatCode>
                <c:ptCount val="5"/>
                <c:pt idx="0">
                  <c:v>8.46</c:v>
                </c:pt>
                <c:pt idx="1">
                  <c:v>7.72</c:v>
                </c:pt>
                <c:pt idx="2">
                  <c:v>15.43</c:v>
                </c:pt>
                <c:pt idx="3">
                  <c:v>14.18</c:v>
                </c:pt>
                <c:pt idx="4">
                  <c:v>13.93</c:v>
                </c:pt>
              </c:numCache>
            </c:numRef>
          </c:val>
        </c:ser>
        <c:gapWidth val="79"/>
        <c:overlap val="100"/>
        <c:axId val="29377863"/>
        <c:axId val="35393224"/>
      </c:barChart>
      <c:catAx>
        <c:axId val="29377863"/>
        <c:scaling>
          <c:orientation val="minMax"/>
        </c:scaling>
        <c:delete val="0"/>
        <c:axPos val="b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DD/MM/YYYY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b="0" sz="800" spc="114" strike="noStrike">
                <a:solidFill>
                  <a:srgbClr val="595959"/>
                </a:solidFill>
                <a:latin typeface="Calibri"/>
              </a:defRPr>
            </a:pPr>
          </a:p>
        </c:txPr>
        <c:crossAx val="35393224"/>
        <c:crosses val="autoZero"/>
        <c:auto val="1"/>
        <c:lblAlgn val="ctr"/>
        <c:lblOffset val="100"/>
      </c:catAx>
      <c:valAx>
        <c:axId val="35393224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Calibri"/>
              </a:defRPr>
            </a:pPr>
          </a:p>
        </c:txPr>
        <c:crossAx val="29377863"/>
        <c:crosses val="autoZero"/>
      </c:valAx>
      <c:spPr>
        <a:noFill/>
        <a:ln>
          <a:noFill/>
        </a:ln>
      </c:spPr>
    </c:plotArea>
    <c:legend>
      <c:legendPos val="t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595959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 w="9360">
      <a:solidFill>
        <a:srgbClr val="d9d9d9"/>
      </a:solidFill>
      <a:round/>
    </a:ln>
  </c:spPr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1"/>
              <c:showVal val="1"/>
              <c:showCatName val="1"/>
              <c:showSerName val="0"/>
              <c:showPercent val="1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14.2857142857143</c:v>
                </c:pt>
                <c:pt idx="2">
                  <c:v>71.4285714285714</c:v>
                </c:pt>
                <c:pt idx="3">
                  <c:v>0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18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barChart>
        <c:barDir val="bar"/>
        <c:grouping val="percent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Неудовлетворительно</c:v>
                </c:pt>
              </c:strCache>
            </c:strRef>
          </c:tx>
          <c:spPr>
            <a:solidFill>
              <a:srgbClr val="70ad47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42.29</c:v>
                </c:pt>
                <c:pt idx="1">
                  <c:v>38.81</c:v>
                </c:pt>
                <c:pt idx="2">
                  <c:v>44.03</c:v>
                </c:pt>
                <c:pt idx="3">
                  <c:v>42.29</c:v>
                </c:pt>
                <c:pt idx="4">
                  <c:v>41.79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Удовлетворительно</c:v>
                </c:pt>
              </c:strCache>
            </c:strRef>
          </c:tx>
          <c:spPr>
            <a:solidFill>
              <a:srgbClr val="4472c4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5"/>
                <c:pt idx="0">
                  <c:v>28.36</c:v>
                </c:pt>
                <c:pt idx="1">
                  <c:v>35.57</c:v>
                </c:pt>
                <c:pt idx="2">
                  <c:v>27.86</c:v>
                </c:pt>
                <c:pt idx="3">
                  <c:v>28.86</c:v>
                </c:pt>
                <c:pt idx="4">
                  <c:v>28.6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Затрудняюсь ответить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5"/>
                <c:pt idx="0">
                  <c:v>29.35</c:v>
                </c:pt>
                <c:pt idx="1">
                  <c:v>25.62</c:v>
                </c:pt>
                <c:pt idx="2">
                  <c:v>28.11</c:v>
                </c:pt>
                <c:pt idx="3">
                  <c:v>28.85</c:v>
                </c:pt>
                <c:pt idx="4">
                  <c:v>29.61</c:v>
                </c:pt>
              </c:numCache>
            </c:numRef>
          </c:val>
        </c:ser>
        <c:gapWidth val="79"/>
        <c:overlap val="100"/>
        <c:axId val="70330544"/>
        <c:axId val="17517838"/>
      </c:barChart>
      <c:catAx>
        <c:axId val="70330544"/>
        <c:scaling>
          <c:orientation val="minMax"/>
        </c:scaling>
        <c:delete val="0"/>
        <c:axPos val="b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DD/MM/YYYY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b="0" sz="800" spc="114" strike="noStrike">
                <a:solidFill>
                  <a:srgbClr val="595959"/>
                </a:solidFill>
                <a:latin typeface="Calibri"/>
              </a:defRPr>
            </a:pPr>
          </a:p>
        </c:txPr>
        <c:crossAx val="17517838"/>
        <c:crosses val="autoZero"/>
        <c:auto val="1"/>
        <c:lblAlgn val="ctr"/>
        <c:lblOffset val="100"/>
      </c:catAx>
      <c:valAx>
        <c:axId val="17517838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Calibri"/>
              </a:defRPr>
            </a:pPr>
          </a:p>
        </c:txPr>
        <c:crossAx val="70330544"/>
        <c:crosses val="autoZero"/>
      </c:valAx>
      <c:spPr>
        <a:noFill/>
        <a:ln>
          <a:noFill/>
        </a:ln>
      </c:spPr>
    </c:plotArea>
    <c:legend>
      <c:legendPos val="t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595959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 w="9360">
      <a:solidFill>
        <a:srgbClr val="d9d9d9"/>
      </a:solidFill>
      <a:round/>
    </a:ln>
  </c:spPr>
</c:chartSpace>
</file>

<file path=word/charts/chart18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barChart>
        <c:barDir val="bar"/>
        <c:grouping val="percent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Высокая</c:v>
                </c:pt>
              </c:strCache>
            </c:strRef>
          </c:tx>
          <c:spPr>
            <a:solidFill>
              <a:srgbClr val="70ad47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47.26</c:v>
                </c:pt>
                <c:pt idx="1">
                  <c:v>43.78</c:v>
                </c:pt>
                <c:pt idx="2">
                  <c:v>44.27</c:v>
                </c:pt>
                <c:pt idx="3">
                  <c:v>48.75</c:v>
                </c:pt>
                <c:pt idx="4">
                  <c:v>49.21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Низкая</c:v>
                </c:pt>
              </c:strCache>
            </c:strRef>
          </c:tx>
          <c:spPr>
            <a:solidFill>
              <a:srgbClr val="4472c4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5"/>
                <c:pt idx="0">
                  <c:v>17.41</c:v>
                </c:pt>
                <c:pt idx="1">
                  <c:v>21.22</c:v>
                </c:pt>
                <c:pt idx="2">
                  <c:v>14.43</c:v>
                </c:pt>
                <c:pt idx="3">
                  <c:v>15.97</c:v>
                </c:pt>
                <c:pt idx="4">
                  <c:v>14.81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Затрудняюсь ответить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В целом все монополии</c:v>
                </c:pt>
                <c:pt idx="1">
                  <c:v>Услуги по водоснабжению, водоотведению</c:v>
                </c:pt>
                <c:pt idx="2">
                  <c:v>Услуги газоснабжения</c:v>
                </c:pt>
                <c:pt idx="3">
                  <c:v>Услуги электроснабжения</c:v>
                </c:pt>
                <c:pt idx="4">
                  <c:v>Услуги теплоснабжения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5"/>
                <c:pt idx="0">
                  <c:v>35.33</c:v>
                </c:pt>
                <c:pt idx="1">
                  <c:v>35</c:v>
                </c:pt>
                <c:pt idx="2">
                  <c:v>41.3</c:v>
                </c:pt>
                <c:pt idx="3">
                  <c:v>35.28</c:v>
                </c:pt>
                <c:pt idx="4">
                  <c:v>35.98</c:v>
                </c:pt>
              </c:numCache>
            </c:numRef>
          </c:val>
        </c:ser>
        <c:gapWidth val="79"/>
        <c:overlap val="100"/>
        <c:axId val="73454785"/>
        <c:axId val="68698626"/>
      </c:barChart>
      <c:catAx>
        <c:axId val="73454785"/>
        <c:scaling>
          <c:orientation val="minMax"/>
        </c:scaling>
        <c:delete val="0"/>
        <c:axPos val="b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DD/MM/YYYY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b="0" sz="800" spc="114" strike="noStrike">
                <a:solidFill>
                  <a:srgbClr val="595959"/>
                </a:solidFill>
                <a:latin typeface="Calibri"/>
              </a:defRPr>
            </a:pPr>
          </a:p>
        </c:txPr>
        <c:crossAx val="68698626"/>
        <c:crosses val="autoZero"/>
        <c:auto val="1"/>
        <c:lblAlgn val="ctr"/>
        <c:lblOffset val="100"/>
      </c:catAx>
      <c:valAx>
        <c:axId val="68698626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Calibri"/>
              </a:defRPr>
            </a:pPr>
          </a:p>
        </c:txPr>
        <c:crossAx val="73454785"/>
        <c:crosses val="autoZero"/>
      </c:valAx>
      <c:spPr>
        <a:noFill/>
        <a:ln>
          <a:noFill/>
        </a:ln>
      </c:spPr>
    </c:plotArea>
    <c:legend>
      <c:legendPos val="t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595959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 w="9360">
      <a:solidFill>
        <a:srgbClr val="d9d9d9"/>
      </a:solidFill>
      <a:round/>
    </a:ln>
  </c:spPr>
</c:chartSpace>
</file>

<file path=word/charts/chart18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barChart>
        <c:barDir val="bar"/>
        <c:grouping val="percent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удовлетворительно</c:v>
                </c:pt>
              </c:strCache>
            </c:strRef>
          </c:tx>
          <c:spPr>
            <a:solidFill>
              <a:srgbClr val="70ad47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3"/>
                <c:pt idx="0">
                  <c:v>Уровень доступности</c:v>
                </c:pt>
                <c:pt idx="1">
                  <c:v>Уровень понятности</c:v>
                </c:pt>
                <c:pt idx="2">
                  <c:v>Удобство получения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47.76</c:v>
                </c:pt>
                <c:pt idx="1">
                  <c:v>52.24</c:v>
                </c:pt>
                <c:pt idx="2">
                  <c:v>43.53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неудовлетворительно</c:v>
                </c:pt>
              </c:strCache>
            </c:strRef>
          </c:tx>
          <c:spPr>
            <a:solidFill>
              <a:srgbClr val="4472c4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3"/>
                <c:pt idx="0">
                  <c:v>Уровень доступности</c:v>
                </c:pt>
                <c:pt idx="1">
                  <c:v>Уровень понятности</c:v>
                </c:pt>
                <c:pt idx="2">
                  <c:v>Удобство получения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3"/>
                <c:pt idx="0">
                  <c:v>32.34</c:v>
                </c:pt>
                <c:pt idx="1">
                  <c:v>25.37</c:v>
                </c:pt>
                <c:pt idx="2">
                  <c:v>33.58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затрудняюсь ответить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</c:spPr>
          <c:invertIfNegative val="0"/>
          <c:dLbls>
            <c:numFmt formatCode="General" sourceLinked="1"/>
            <c:dLblPos val="ctr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3"/>
                <c:pt idx="0">
                  <c:v>Уровень доступности</c:v>
                </c:pt>
                <c:pt idx="1">
                  <c:v>Уровень понятности</c:v>
                </c:pt>
                <c:pt idx="2">
                  <c:v>Удобство получения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3"/>
                <c:pt idx="0">
                  <c:v>19.9</c:v>
                </c:pt>
                <c:pt idx="1">
                  <c:v>22.39</c:v>
                </c:pt>
                <c:pt idx="2">
                  <c:v>22.89</c:v>
                </c:pt>
              </c:numCache>
            </c:numRef>
          </c:val>
        </c:ser>
        <c:gapWidth val="79"/>
        <c:overlap val="100"/>
        <c:axId val="11057623"/>
        <c:axId val="35758344"/>
      </c:barChart>
      <c:catAx>
        <c:axId val="11057623"/>
        <c:scaling>
          <c:orientation val="minMax"/>
        </c:scaling>
        <c:delete val="0"/>
        <c:axPos val="b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numFmt formatCode="DD/MM/YYYY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b="0" sz="800" spc="114" strike="noStrike">
                <a:solidFill>
                  <a:srgbClr val="595959"/>
                </a:solidFill>
                <a:latin typeface="Calibri"/>
              </a:defRPr>
            </a:pPr>
          </a:p>
        </c:txPr>
        <c:crossAx val="35758344"/>
        <c:crosses val="autoZero"/>
        <c:auto val="1"/>
        <c:lblAlgn val="ctr"/>
        <c:lblOffset val="100"/>
      </c:catAx>
      <c:valAx>
        <c:axId val="35758344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Calibri"/>
              </a:defRPr>
            </a:pPr>
          </a:p>
        </c:txPr>
        <c:crossAx val="11057623"/>
        <c:crosses val="autoZero"/>
      </c:valAx>
      <c:spPr>
        <a:noFill/>
        <a:ln>
          <a:noFill/>
        </a:ln>
      </c:spPr>
    </c:plotArea>
    <c:legend>
      <c:legendPos val="t"/>
      <c:overlay val="0"/>
      <c:spPr>
        <a:noFill/>
        <a:ln>
          <a:noFill/>
        </a:ln>
      </c:spPr>
      <c:txPr>
        <a:bodyPr/>
        <a:lstStyle/>
        <a:p>
          <a:pPr>
            <a:defRPr b="0" sz="900" spc="-1" strike="noStrike">
              <a:solidFill>
                <a:srgbClr val="595959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 w="9360">
      <a:solidFill>
        <a:srgbClr val="d9d9d9"/>
      </a:solidFill>
      <a:round/>
    </a:ln>
  </c:spPr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42.8571428571429</c:v>
                </c:pt>
                <c:pt idx="2">
                  <c:v>0</c:v>
                </c:pt>
                <c:pt idx="3">
                  <c:v>28.5714285714286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50</c:v>
                </c:pt>
                <c:pt idx="2">
                  <c:v>37.5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71.6475</c:v>
                </c:pt>
                <c:pt idx="2">
                  <c:v>25</c:v>
                </c:pt>
                <c:pt idx="3">
                  <c:v>3.3525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1"/>
              <c:showVal val="1"/>
              <c:showCatName val="1"/>
              <c:showSerName val="0"/>
              <c:showPercent val="1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14.2857142857143</c:v>
                </c:pt>
                <c:pt idx="2">
                  <c:v>85.7142857142857</c:v>
                </c:pt>
                <c:pt idx="3">
                  <c:v>0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33.3333333333333</c:v>
                </c:pt>
                <c:pt idx="1">
                  <c:v>33.3333333333333</c:v>
                </c:pt>
                <c:pt idx="2">
                  <c:v>0</c:v>
                </c:pt>
                <c:pt idx="3">
                  <c:v>33.3333333333333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62.5</c:v>
                </c:pt>
                <c:pt idx="1">
                  <c:v>0</c:v>
                </c:pt>
                <c:pt idx="2">
                  <c:v>25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47.75</c:v>
                </c:pt>
                <c:pt idx="2">
                  <c:v>50</c:v>
                </c:pt>
                <c:pt idx="3">
                  <c:v>2.25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25</c:v>
                </c:pt>
                <c:pt idx="2">
                  <c:v>50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25</c:v>
                </c:pt>
                <c:pt idx="1">
                  <c:v>37.5</c:v>
                </c:pt>
                <c:pt idx="2">
                  <c:v>12.5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44.4444444444444</c:v>
                </c:pt>
                <c:pt idx="1">
                  <c:v>11.1111111111111</c:v>
                </c:pt>
                <c:pt idx="2">
                  <c:v>22.2222222222222</c:v>
                </c:pt>
                <c:pt idx="3">
                  <c:v>22.2222222222222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81.8314285714285</c:v>
                </c:pt>
                <c:pt idx="2">
                  <c:v>14.2857142857143</c:v>
                </c:pt>
                <c:pt idx="3">
                  <c:v>3.88285714285714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42.8571428571429</c:v>
                </c:pt>
                <c:pt idx="1">
                  <c:v>28.5714285714286</c:v>
                </c:pt>
                <c:pt idx="2">
                  <c:v>0</c:v>
                </c:pt>
                <c:pt idx="3">
                  <c:v>28.5714285714286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14.2857142857143</c:v>
                </c:pt>
                <c:pt idx="2">
                  <c:v>71.4285714285714</c:v>
                </c:pt>
                <c:pt idx="3">
                  <c:v>14.2857142857143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33.3333333333333</c:v>
                </c:pt>
                <c:pt idx="1">
                  <c:v>22.2222222222222</c:v>
                </c:pt>
                <c:pt idx="2">
                  <c:v>22.2222222222222</c:v>
                </c:pt>
                <c:pt idx="3">
                  <c:v>22.2222222222222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66.6666666666667</c:v>
                </c:pt>
                <c:pt idx="1">
                  <c:v>11.1111111111111</c:v>
                </c:pt>
                <c:pt idx="2">
                  <c:v>11.1111111111111</c:v>
                </c:pt>
                <c:pt idx="3">
                  <c:v>11.1111111111111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54.5371428571429</c:v>
                </c:pt>
                <c:pt idx="2">
                  <c:v>28.5714285714286</c:v>
                </c:pt>
                <c:pt idx="3">
                  <c:v>2.60571428571428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16.6666666666667</c:v>
                </c:pt>
                <c:pt idx="2">
                  <c:v>50</c:v>
                </c:pt>
                <c:pt idx="3">
                  <c:v>33.3333333333333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25</c:v>
                </c:pt>
                <c:pt idx="1">
                  <c:v>37.5</c:v>
                </c:pt>
                <c:pt idx="2">
                  <c:v>12.5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62.5</c:v>
                </c:pt>
                <c:pt idx="1">
                  <c:v>0</c:v>
                </c:pt>
                <c:pt idx="2">
                  <c:v>25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54.52</c:v>
                </c:pt>
                <c:pt idx="2">
                  <c:v>14.2857142857143</c:v>
                </c:pt>
                <c:pt idx="3">
                  <c:v>2.62285714285714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1"/>
              <c:showVal val="1"/>
              <c:showCatName val="1"/>
              <c:showSerName val="0"/>
              <c:showPercent val="1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33.3333333333333</c:v>
                </c:pt>
                <c:pt idx="1">
                  <c:v>16.6666666666667</c:v>
                </c:pt>
                <c:pt idx="2">
                  <c:v>50</c:v>
                </c:pt>
                <c:pt idx="3">
                  <c:v>0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75</c:v>
                </c:pt>
                <c:pt idx="1">
                  <c:v>0</c:v>
                </c:pt>
                <c:pt idx="2">
                  <c:v>12.5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62.5</c:v>
                </c:pt>
                <c:pt idx="1">
                  <c:v>0</c:v>
                </c:pt>
                <c:pt idx="2">
                  <c:v>12.5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54.5028571428572</c:v>
                </c:pt>
                <c:pt idx="2">
                  <c:v>28.5714285714286</c:v>
                </c:pt>
                <c:pt idx="3">
                  <c:v>2.63999999999999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16.6666666666667</c:v>
                </c:pt>
                <c:pt idx="2">
                  <c:v>50</c:v>
                </c:pt>
                <c:pt idx="3">
                  <c:v>33.3333333333333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27.2727272727273</c:v>
                </c:pt>
                <c:pt idx="1">
                  <c:v>18.1818181818182</c:v>
                </c:pt>
                <c:pt idx="2">
                  <c:v>45.4545454545454</c:v>
                </c:pt>
                <c:pt idx="3">
                  <c:v>9.09090909090909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54.4857142857143</c:v>
                </c:pt>
                <c:pt idx="2">
                  <c:v>28.5714285714286</c:v>
                </c:pt>
                <c:pt idx="3">
                  <c:v>2.65714285714285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4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16.6666666666667</c:v>
                </c:pt>
                <c:pt idx="2">
                  <c:v>50</c:v>
                </c:pt>
                <c:pt idx="3">
                  <c:v>33.3333333333333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4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4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44.4444444444444</c:v>
                </c:pt>
                <c:pt idx="1">
                  <c:v>11.1111111111111</c:v>
                </c:pt>
                <c:pt idx="2">
                  <c:v>33.3333333333333</c:v>
                </c:pt>
                <c:pt idx="3">
                  <c:v>11.1111111111111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4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47.66</c:v>
                </c:pt>
                <c:pt idx="2">
                  <c:v>33.3333333333333</c:v>
                </c:pt>
                <c:pt idx="3">
                  <c:v>2.33999999999999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12.5</c:v>
                </c:pt>
                <c:pt idx="1">
                  <c:v>47.825</c:v>
                </c:pt>
                <c:pt idx="2">
                  <c:v>37.5</c:v>
                </c:pt>
                <c:pt idx="3">
                  <c:v>2.175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5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1"/>
              <c:showVal val="1"/>
              <c:showCatName val="1"/>
              <c:showSerName val="0"/>
              <c:showPercent val="1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16.6666666666667</c:v>
                </c:pt>
                <c:pt idx="2">
                  <c:v>66.6666666666667</c:v>
                </c:pt>
                <c:pt idx="3">
                  <c:v>0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5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5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44.4444444444444</c:v>
                </c:pt>
                <c:pt idx="1">
                  <c:v>11.1111111111111</c:v>
                </c:pt>
                <c:pt idx="2">
                  <c:v>33.3333333333333</c:v>
                </c:pt>
                <c:pt idx="3">
                  <c:v>11.1111111111111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5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54.4514285714286</c:v>
                </c:pt>
                <c:pt idx="2">
                  <c:v>28.5714285714286</c:v>
                </c:pt>
                <c:pt idx="3">
                  <c:v>2.69142857142856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5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16.6666666666667</c:v>
                </c:pt>
                <c:pt idx="2">
                  <c:v>50</c:v>
                </c:pt>
                <c:pt idx="3">
                  <c:v>33.3333333333333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5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5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44.4444444444444</c:v>
                </c:pt>
                <c:pt idx="1">
                  <c:v>0</c:v>
                </c:pt>
                <c:pt idx="2">
                  <c:v>44.4444444444444</c:v>
                </c:pt>
                <c:pt idx="3">
                  <c:v>11.1111111111111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5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54.4342857142857</c:v>
                </c:pt>
                <c:pt idx="2">
                  <c:v>14.2857142857143</c:v>
                </c:pt>
                <c:pt idx="3">
                  <c:v>2.70857142857142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5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16.6666666666667</c:v>
                </c:pt>
                <c:pt idx="2">
                  <c:v>50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5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14.2857142857143</c:v>
                </c:pt>
                <c:pt idx="2">
                  <c:v>71.4285714285714</c:v>
                </c:pt>
                <c:pt idx="3">
                  <c:v>14.2857142857143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6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6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40.8128571428571</c:v>
                </c:pt>
                <c:pt idx="2">
                  <c:v>28.5714285714286</c:v>
                </c:pt>
                <c:pt idx="3">
                  <c:v>2.04428571428571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6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33.3333333333333</c:v>
                </c:pt>
                <c:pt idx="2">
                  <c:v>33.3333333333333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6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6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37.5</c:v>
                </c:pt>
                <c:pt idx="1">
                  <c:v>0</c:v>
                </c:pt>
                <c:pt idx="2">
                  <c:v>37.5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6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40.8</c:v>
                </c:pt>
                <c:pt idx="2">
                  <c:v>28.5714285714286</c:v>
                </c:pt>
                <c:pt idx="3">
                  <c:v>2.05714285714285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6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33.3333333333333</c:v>
                </c:pt>
                <c:pt idx="2">
                  <c:v>33.3333333333333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6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6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37.5</c:v>
                </c:pt>
                <c:pt idx="1">
                  <c:v>0</c:v>
                </c:pt>
                <c:pt idx="2">
                  <c:v>37.5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6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54.3828571428571</c:v>
                </c:pt>
                <c:pt idx="2">
                  <c:v>28.5714285714286</c:v>
                </c:pt>
                <c:pt idx="3">
                  <c:v>2.75999999999999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42.8571428571429</c:v>
                </c:pt>
                <c:pt idx="2">
                  <c:v>0</c:v>
                </c:pt>
                <c:pt idx="3">
                  <c:v>28.5714285714286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7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42.8571428571429</c:v>
                </c:pt>
                <c:pt idx="2">
                  <c:v>42.8571428571429</c:v>
                </c:pt>
                <c:pt idx="3">
                  <c:v>14.2857142857143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7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7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62.5</c:v>
                </c:pt>
                <c:pt idx="1">
                  <c:v>0</c:v>
                </c:pt>
                <c:pt idx="2">
                  <c:v>25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7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54.3657142857143</c:v>
                </c:pt>
                <c:pt idx="2">
                  <c:v>28.5714285714286</c:v>
                </c:pt>
                <c:pt idx="3">
                  <c:v>2.77714285714285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7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42.8571428571429</c:v>
                </c:pt>
                <c:pt idx="2">
                  <c:v>42.8571428571429</c:v>
                </c:pt>
                <c:pt idx="3">
                  <c:v>14.2857142857143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7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28.5714285714286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7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62.5</c:v>
                </c:pt>
                <c:pt idx="1">
                  <c:v>0</c:v>
                </c:pt>
                <c:pt idx="2">
                  <c:v>25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7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54.3485714285714</c:v>
                </c:pt>
                <c:pt idx="2">
                  <c:v>28.5714285714286</c:v>
                </c:pt>
                <c:pt idx="3">
                  <c:v>2.79428571428571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7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42.8571428571429</c:v>
                </c:pt>
                <c:pt idx="2">
                  <c:v>28.5714285714286</c:v>
                </c:pt>
                <c:pt idx="3">
                  <c:v>28.5714285714286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7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28.5714285714286</c:v>
                </c:pt>
                <c:pt idx="1">
                  <c:v>42.8571428571429</c:v>
                </c:pt>
                <c:pt idx="2">
                  <c:v>0</c:v>
                </c:pt>
                <c:pt idx="3">
                  <c:v>28.5714285714286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37.5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8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37.5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8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54.3314285714286</c:v>
                </c:pt>
                <c:pt idx="2">
                  <c:v>28.5714285714286</c:v>
                </c:pt>
                <c:pt idx="3">
                  <c:v>2.81142857142856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8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16.6666666666667</c:v>
                </c:pt>
                <c:pt idx="2">
                  <c:v>66.6666666666667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8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25</c:v>
                </c:pt>
                <c:pt idx="1">
                  <c:v>37.5</c:v>
                </c:pt>
                <c:pt idx="2">
                  <c:v>12.5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8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62.5</c:v>
                </c:pt>
                <c:pt idx="1">
                  <c:v>0</c:v>
                </c:pt>
                <c:pt idx="2">
                  <c:v>25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8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81.4714285714286</c:v>
                </c:pt>
                <c:pt idx="2">
                  <c:v>14.2857142857143</c:v>
                </c:pt>
                <c:pt idx="3">
                  <c:v>4.24285714285713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8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0</c:v>
                </c:pt>
                <c:pt idx="1">
                  <c:v>42.8571428571429</c:v>
                </c:pt>
                <c:pt idx="2">
                  <c:v>42.8571428571429</c:v>
                </c:pt>
                <c:pt idx="3">
                  <c:v>14.2857142857143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8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42.8571428571429</c:v>
                </c:pt>
                <c:pt idx="1">
                  <c:v>28.5714285714286</c:v>
                </c:pt>
                <c:pt idx="2">
                  <c:v>0</c:v>
                </c:pt>
                <c:pt idx="3">
                  <c:v>28.5714285714286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8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62.5</c:v>
                </c:pt>
                <c:pt idx="1">
                  <c:v>0</c:v>
                </c:pt>
                <c:pt idx="2">
                  <c:v>25</c:v>
                </c:pt>
                <c:pt idx="3">
                  <c:v>12.5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8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67.8714285714285</c:v>
                </c:pt>
                <c:pt idx="2">
                  <c:v>14.2857142857143</c:v>
                </c:pt>
                <c:pt idx="3">
                  <c:v>3.55714285714285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25</c:v>
                </c:pt>
                <c:pt idx="1">
                  <c:v>35.8575</c:v>
                </c:pt>
                <c:pt idx="2">
                  <c:v>37.5</c:v>
                </c:pt>
                <c:pt idx="3">
                  <c:v>1.6425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9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28.5714285714286</c:v>
                </c:pt>
                <c:pt idx="2">
                  <c:v>42.8571428571429</c:v>
                </c:pt>
                <c:pt idx="3">
                  <c:v>14.2857142857143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9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33.3333333333333</c:v>
                </c:pt>
                <c:pt idx="1">
                  <c:v>16.6666666666667</c:v>
                </c:pt>
                <c:pt idx="2">
                  <c:v>0</c:v>
                </c:pt>
                <c:pt idx="3">
                  <c:v>50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9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9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63.3266666666667</c:v>
                </c:pt>
                <c:pt idx="2">
                  <c:v>16.6666666666667</c:v>
                </c:pt>
                <c:pt idx="3">
                  <c:v>3.33999999999999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9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33.3333333333333</c:v>
                </c:pt>
                <c:pt idx="2">
                  <c:v>33.3333333333333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9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42.8571428571429</c:v>
                </c:pt>
                <c:pt idx="1">
                  <c:v>14.2857142857143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9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Приемлемо</c:v>
                </c:pt>
                <c:pt idx="1">
                  <c:v>Да, вполне доступны</c:v>
                </c:pt>
                <c:pt idx="2">
                  <c:v>Нет, цены недоступны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25</c:v>
                </c:pt>
                <c:pt idx="3">
                  <c:v>25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9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 ответить</c:v>
                </c:pt>
                <c:pt idx="1">
                  <c:v>Устраивает</c:v>
                </c:pt>
                <c:pt idx="2">
                  <c:v>Неприемлимо низкое</c:v>
                </c:pt>
                <c:pt idx="3">
                  <c:v>Полностью устраивает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14.2857142857143</c:v>
                </c:pt>
                <c:pt idx="1">
                  <c:v>54.2628571428572</c:v>
                </c:pt>
                <c:pt idx="2">
                  <c:v>28.5714285714286</c:v>
                </c:pt>
                <c:pt idx="3">
                  <c:v>2.87999999999999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9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Затрудняюсь</c:v>
                </c:pt>
                <c:pt idx="1">
                  <c:v>Да, вполне доступны</c:v>
                </c:pt>
                <c:pt idx="2">
                  <c:v>Приемлимо</c:v>
                </c:pt>
                <c:pt idx="3">
                  <c:v>Нет, цены недоступны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16.6666666666667</c:v>
                </c:pt>
                <c:pt idx="1">
                  <c:v>33.3333333333333</c:v>
                </c:pt>
                <c:pt idx="2">
                  <c:v>33.3333333333333</c:v>
                </c:pt>
                <c:pt idx="3">
                  <c:v>16.6666666666667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charts/chart9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/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explosion val="25"/>
          <c:dPt>
            <c:idx val="0"/>
            <c:spPr>
              <a:solidFill>
                <a:srgbClr val="5b9bd5"/>
              </a:solidFill>
              <a:ln>
                <a:noFill/>
              </a:ln>
            </c:spPr>
          </c:dPt>
          <c:dPt>
            <c:idx val="1"/>
            <c:spPr>
              <a:solidFill>
                <a:srgbClr val="ed7d31"/>
              </a:solidFill>
              <a:ln>
                <a:noFill/>
              </a:ln>
            </c:spPr>
          </c:dPt>
          <c:dPt>
            <c:idx val="2"/>
            <c:spPr>
              <a:solidFill>
                <a:srgbClr val="a5a5a5"/>
              </a:solidFill>
              <a:ln>
                <a:noFill/>
              </a:ln>
            </c:spPr>
          </c:dPt>
          <c:dPt>
            <c:idx val="3"/>
            <c:spPr>
              <a:solidFill>
                <a:srgbClr val="ffc000"/>
              </a:solidFill>
              <a:ln>
                <a:noFill/>
              </a:ln>
            </c:spPr>
          </c:dPt>
          <c:dLbls>
            <c:numFmt formatCode="0.00" sourceLinked="1"/>
            <c:dLbl>
              <c:idx val="0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1"/>
              <c:dLblPos val="bestFit"/>
              <c:showLegendKey val="0"/>
              <c:showVal val="1"/>
              <c:showCatName val="0"/>
              <c:showSerName val="0"/>
              <c:showPercent val="0"/>
            </c:dLbl>
            <c:dLbl>
              <c:idx val="2"/>
              <c:dLblPos val="bestFit"/>
              <c:showLegendKey val="1"/>
              <c:showVal val="1"/>
              <c:showCatName val="1"/>
              <c:showSerName val="0"/>
              <c:showPercent val="1"/>
            </c:dLbl>
            <c:dLbl>
              <c:idx val="3"/>
              <c:dLblPos val="bestFit"/>
              <c:showLegendKey val="0"/>
              <c:showVal val="1"/>
              <c:showCatName val="0"/>
              <c:showSerName val="0"/>
              <c:showPercent val="0"/>
            </c:dLbl>
            <c:dLblPos val="bestFit"/>
            <c:showLegendKey val="0"/>
            <c:showVal val="1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Достаточно</c:v>
                </c:pt>
                <c:pt idx="1">
                  <c:v>Недостаточно</c:v>
                </c:pt>
                <c:pt idx="2">
                  <c:v>Избыточно много</c:v>
                </c:pt>
                <c:pt idx="3">
                  <c:v>Затрудняюсь ответить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42.8571428571429</c:v>
                </c:pt>
                <c:pt idx="1">
                  <c:v>14.2857142857143</c:v>
                </c:pt>
                <c:pt idx="2">
                  <c:v>0</c:v>
                </c:pt>
                <c:pt idx="3">
                  <c:v>42.8571428571429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5F153-E463-EF4B-A4C0-7679A91C0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LibreOffice/5.4.7.2$Windows_x86 LibreOffice_project/c838ef25c16710f8838b1faec480ebba495259d0</Application>
  <Pages>130</Pages>
  <Words>11276</Words>
  <Characters>85617</Characters>
  <CharactersWithSpaces>96436</CharactersWithSpaces>
  <Paragraphs>811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2020-01-30T05:58:00Z</dcterms:created>
  <dc:creator>Kongress</dc:creator>
  <dc:description/>
  <dc:language>ru-RU</dc:language>
  <cp:lastModifiedBy/>
  <dcterms:modified xsi:type="dcterms:W3CDTF">2020-02-18T11:00:36Z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