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3C" w:rsidRDefault="00797E3C" w:rsidP="00797E3C">
      <w:pPr>
        <w:pStyle w:val="NormalWeb"/>
        <w:spacing w:before="0"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97E3C" w:rsidRDefault="00797E3C" w:rsidP="00797E3C">
      <w:pPr>
        <w:pStyle w:val="NormalWeb"/>
        <w:spacing w:before="0"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Закона Псковской области</w:t>
      </w:r>
    </w:p>
    <w:p w:rsidR="00797E3C" w:rsidRDefault="00797E3C" w:rsidP="00797E3C">
      <w:pPr>
        <w:pStyle w:val="NormalWeb"/>
        <w:spacing w:before="0"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Закон Псковской области «О налоговых льготах и государственной поддержке инвестиционной деятельности </w:t>
      </w:r>
    </w:p>
    <w:p w:rsidR="00797E3C" w:rsidRDefault="00797E3C" w:rsidP="00797E3C">
      <w:pPr>
        <w:pStyle w:val="NormalWeb"/>
        <w:spacing w:before="0"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Псковской области» </w:t>
      </w:r>
    </w:p>
    <w:p w:rsidR="00797E3C" w:rsidRDefault="00797E3C" w:rsidP="00797E3C">
      <w:pPr>
        <w:pStyle w:val="NormalWeb"/>
        <w:spacing w:before="0" w:after="0" w:line="276" w:lineRule="auto"/>
        <w:jc w:val="center"/>
        <w:rPr>
          <w:sz w:val="28"/>
          <w:szCs w:val="28"/>
        </w:rPr>
      </w:pPr>
    </w:p>
    <w:p w:rsidR="00797E3C" w:rsidRDefault="00797E3C" w:rsidP="00797E3C">
      <w:pPr>
        <w:pStyle w:val="NormalWeb"/>
        <w:spacing w:before="0" w:after="0" w:line="276" w:lineRule="auto"/>
        <w:ind w:firstLine="709"/>
        <w:jc w:val="both"/>
        <w:rPr>
          <w:sz w:val="28"/>
          <w:szCs w:val="28"/>
        </w:rPr>
      </w:pPr>
    </w:p>
    <w:p w:rsidR="00797E3C" w:rsidRDefault="00797E3C" w:rsidP="00797E3C">
      <w:pPr>
        <w:pStyle w:val="consplustitle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Псковской области «О внесении изменений в Закон Псковской области «О налоговых льготах и государственной поддержке инвестиционной деятельности в Псковской области» (далее – законопроект) подготовлен Государственным комитетом Псковской области по экономическому развитию и инвестиционной политике.</w:t>
      </w:r>
    </w:p>
    <w:p w:rsidR="00797E3C" w:rsidRDefault="00797E3C" w:rsidP="00797E3C">
      <w:pPr>
        <w:pStyle w:val="consplustitle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Законопроектом предусматривается введение дополнительных оснований и условий, выполнение которых влечет за собой возникновение права на предоставление государственной поддержки инвесторам при реализации инвестиционных проектов, утвержденных Администрацией области. Также уточняются условия подтверждающие право на льготы – это отсутствие непогашенной на дату поступления в инвестиционную комиссию заявки задолженности по уплате налогов, сборов, страховых взносов, а также пеней и штрафов за нарушение законодательства Российской Федерации о налогах и сборах и просроченной задолженности по заработной плате.</w:t>
      </w:r>
    </w:p>
    <w:p w:rsidR="00797E3C" w:rsidRDefault="00797E3C" w:rsidP="00797E3C">
      <w:pPr>
        <w:pStyle w:val="consplustitle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Законопроектом вводится требование, согласно которому инвестор, претендующий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получением</w:t>
      </w:r>
      <w:proofErr w:type="gramEnd"/>
      <w:r>
        <w:rPr>
          <w:sz w:val="28"/>
          <w:szCs w:val="28"/>
        </w:rPr>
        <w:t xml:space="preserve"> поддержки в форме налоговых льгот, обязан осуществлять выплату среднемесячной заработной платы не ниже среднемесячной номинальной начисленной заработной платы по виду экономической деятельности, к которому относится организация инвестора. Введение данной нормы будет содействовать достижению целей обозначенных  в Указе Президента Российской Федерации от 07.05.2018 № 204                       «О национальных целях и стратегических задачах развития Российской Федерации на период до 2024 года» в части обеспечения устойчивого роста реальных доходов граждан.</w:t>
      </w:r>
    </w:p>
    <w:p w:rsidR="00797E3C" w:rsidRDefault="00797E3C" w:rsidP="00797E3C">
      <w:pPr>
        <w:pStyle w:val="consplustitle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данные нормы вводятся для исключения злоупотребления правом применения льготного налогообложения недобросовестными налогоплательщиками (наличие задолженности, низкий уровень оплаты труда, выплата «серых» заработных плат). Таким образом, предоставляя налоговую льготу инвесторам, будет </w:t>
      </w:r>
      <w:proofErr w:type="spellStart"/>
      <w:r>
        <w:rPr>
          <w:sz w:val="28"/>
          <w:szCs w:val="28"/>
        </w:rPr>
        <w:t>учитыватся</w:t>
      </w:r>
      <w:proofErr w:type="spellEnd"/>
      <w:r>
        <w:rPr>
          <w:sz w:val="28"/>
          <w:szCs w:val="28"/>
        </w:rPr>
        <w:t xml:space="preserve"> не только инвестиционный потенциал компаний, но и их деловая репутация, регулярность налоговых поступлений от налогоплательщиков для обеспечения окупаемости налоговой льготы.</w:t>
      </w:r>
    </w:p>
    <w:p w:rsidR="00797E3C" w:rsidRDefault="00797E3C" w:rsidP="00797E3C">
      <w:pPr>
        <w:pStyle w:val="consplustitle"/>
        <w:spacing w:before="0" w:after="0"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Поскольку законопроект не отменяет действующие налоговые льготы для заявивших их налогоплательщиков, а также не изменяет сроки предоставления налоговых льгот, полагаем, что для добросовестных субъектов предпринимательской и инвестиционной деятельности негативных последствий введения предлагаемых изменений не вызовет.   </w:t>
      </w:r>
      <w:proofErr w:type="gramEnd"/>
    </w:p>
    <w:p w:rsidR="00797E3C" w:rsidRDefault="00797E3C" w:rsidP="00797E3C">
      <w:pPr>
        <w:pStyle w:val="consplustitle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</w:t>
      </w:r>
      <w:r>
        <w:rPr>
          <w:sz w:val="30"/>
          <w:szCs w:val="30"/>
        </w:rPr>
        <w:t xml:space="preserve">содержит положения, регулирующие отношения, предусмотренные </w:t>
      </w:r>
      <w:r>
        <w:rPr>
          <w:sz w:val="28"/>
          <w:szCs w:val="28"/>
        </w:rPr>
        <w:t xml:space="preserve">пунктом 1 статьи 26.3-3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>
        <w:rPr>
          <w:sz w:val="30"/>
          <w:szCs w:val="30"/>
        </w:rPr>
        <w:t>и требует проведения оценки регулирующего воздействия.</w:t>
      </w:r>
    </w:p>
    <w:p w:rsidR="00797E3C" w:rsidRDefault="00797E3C" w:rsidP="00797E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7E3C" w:rsidRDefault="00797E3C" w:rsidP="00797E3C">
      <w:pPr>
        <w:pStyle w:val="consplustitle"/>
        <w:spacing w:before="0" w:after="0" w:line="276" w:lineRule="auto"/>
        <w:jc w:val="both"/>
        <w:rPr>
          <w:sz w:val="28"/>
          <w:szCs w:val="28"/>
        </w:rPr>
      </w:pPr>
    </w:p>
    <w:p w:rsidR="00797E3C" w:rsidRDefault="00797E3C" w:rsidP="00797E3C">
      <w:pPr>
        <w:pStyle w:val="consplustitle"/>
        <w:spacing w:before="0" w:after="0" w:line="276" w:lineRule="auto"/>
        <w:jc w:val="both"/>
        <w:rPr>
          <w:sz w:val="28"/>
          <w:szCs w:val="28"/>
        </w:rPr>
      </w:pPr>
    </w:p>
    <w:p w:rsidR="00797E3C" w:rsidRDefault="00797E3C" w:rsidP="00797E3C">
      <w:pPr>
        <w:pStyle w:val="consplustitle"/>
        <w:spacing w:before="0" w:after="0" w:line="276" w:lineRule="auto"/>
        <w:jc w:val="both"/>
        <w:rPr>
          <w:sz w:val="28"/>
          <w:szCs w:val="28"/>
        </w:rPr>
      </w:pPr>
    </w:p>
    <w:p w:rsidR="00797E3C" w:rsidRDefault="00797E3C" w:rsidP="00797E3C">
      <w:pPr>
        <w:pStyle w:val="consplustitle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Государственного</w:t>
      </w:r>
      <w:proofErr w:type="gramEnd"/>
      <w:r>
        <w:rPr>
          <w:sz w:val="28"/>
          <w:szCs w:val="28"/>
        </w:rPr>
        <w:t xml:space="preserve"> </w:t>
      </w: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комитета Псковской области</w:t>
      </w: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экономическому развитию </w:t>
      </w: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 инвестиционной политике                                                                А.С.Михеев</w:t>
      </w: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797E3C" w:rsidRDefault="00797E3C" w:rsidP="00797E3C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29-97-29 доб.112</w:t>
      </w:r>
    </w:p>
    <w:p w:rsidR="00797E3C" w:rsidRDefault="00797E3C" w:rsidP="00797E3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</w:rPr>
        <w:t>И.А.Григорьева</w:t>
      </w:r>
    </w:p>
    <w:p w:rsidR="007404B5" w:rsidRDefault="00797E3C"/>
    <w:sectPr w:rsidR="007404B5" w:rsidSect="00974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97E3C"/>
    <w:rsid w:val="001B432C"/>
    <w:rsid w:val="00404A1C"/>
    <w:rsid w:val="00797E3C"/>
    <w:rsid w:val="00974C1C"/>
    <w:rsid w:val="00EA23EB"/>
    <w:rsid w:val="00EC3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3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eb">
    <w:name w:val="Normal (Web)"/>
    <w:basedOn w:val="a"/>
    <w:rsid w:val="00797E3C"/>
    <w:pPr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797E3C"/>
    <w:pPr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2695</Characters>
  <Application>Microsoft Office Word</Application>
  <DocSecurity>0</DocSecurity>
  <Lines>22</Lines>
  <Paragraphs>6</Paragraphs>
  <ScaleCrop>false</ScaleCrop>
  <Company>Комитет по экономическому развитию и инвестиционной 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KorotkovMM</dc:creator>
  <cp:keywords/>
  <dc:description/>
  <cp:lastModifiedBy>KorotkovMM</cp:lastModifiedBy>
  <cp:revision>2</cp:revision>
  <dcterms:created xsi:type="dcterms:W3CDTF">2018-11-07T08:47:00Z</dcterms:created>
  <dcterms:modified xsi:type="dcterms:W3CDTF">2018-11-07T08:48:00Z</dcterms:modified>
</cp:coreProperties>
</file>